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6652" w14:textId="67DFA524" w:rsidR="00B97237" w:rsidRPr="00833673" w:rsidRDefault="004C0749" w:rsidP="00833673">
      <w:pPr>
        <w:widowControl w:val="0"/>
        <w:spacing w:line="360" w:lineRule="auto"/>
        <w:ind w:right="-164"/>
        <w:jc w:val="both"/>
        <w:rPr>
          <w:rFonts w:ascii="Palatino Linotype" w:eastAsia="Calibri" w:hAnsi="Palatino Linotype" w:cs="Arial"/>
          <w:b/>
        </w:rPr>
      </w:pPr>
      <w:r w:rsidRPr="0083367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875D3">
        <w:rPr>
          <w:rFonts w:ascii="Palatino Linotype" w:hAnsi="Palatino Linotype" w:cs="Arial"/>
          <w:b/>
        </w:rPr>
        <w:t>VIGÉSIMA NOVENA</w:t>
      </w:r>
      <w:r w:rsidRPr="00833673">
        <w:rPr>
          <w:rFonts w:ascii="Palatino Linotype" w:hAnsi="Palatino Linotype" w:cs="Arial"/>
          <w:b/>
        </w:rPr>
        <w:t xml:space="preserve"> SESIÓN ORDINARIA DEL </w:t>
      </w:r>
      <w:r w:rsidR="00F231EA" w:rsidRPr="00833673">
        <w:rPr>
          <w:rFonts w:ascii="Palatino Linotype" w:hAnsi="Palatino Linotype" w:cs="Arial"/>
          <w:b/>
        </w:rPr>
        <w:t>QUINCE DE AGOSTO DE DOS MIL DIECIOCHO</w:t>
      </w:r>
      <w:r w:rsidRPr="00833673">
        <w:rPr>
          <w:rFonts w:ascii="Palatino Linotype" w:hAnsi="Palatino Linotype" w:cs="Arial"/>
          <w:b/>
        </w:rPr>
        <w:t xml:space="preserve">, EN EL RECURSO DE REVISIÓN </w:t>
      </w:r>
      <w:r w:rsidR="003954D7" w:rsidRPr="00833673">
        <w:rPr>
          <w:rFonts w:ascii="Palatino Linotype" w:hAnsi="Palatino Linotype" w:cs="Arial"/>
          <w:b/>
        </w:rPr>
        <w:t>02188/INFOEM/IP/RR/2018</w:t>
      </w:r>
      <w:r w:rsidRPr="00833673">
        <w:rPr>
          <w:rFonts w:ascii="Palatino Linotype" w:eastAsia="Calibri" w:hAnsi="Palatino Linotype" w:cs="Arial"/>
          <w:b/>
        </w:rPr>
        <w:t>.</w:t>
      </w:r>
    </w:p>
    <w:p w14:paraId="6FC609BC" w14:textId="77777777" w:rsidR="00B97237" w:rsidRPr="00833673" w:rsidRDefault="00B97237" w:rsidP="00833673">
      <w:pPr>
        <w:widowControl w:val="0"/>
        <w:spacing w:line="360" w:lineRule="auto"/>
        <w:ind w:right="-164"/>
        <w:jc w:val="both"/>
        <w:rPr>
          <w:rFonts w:ascii="Palatino Linotype" w:eastAsia="Calibri" w:hAnsi="Palatino Linotype" w:cs="Arial"/>
          <w:b/>
        </w:rPr>
      </w:pPr>
    </w:p>
    <w:p w14:paraId="0F92F505" w14:textId="5AA5B925" w:rsidR="004C0749" w:rsidRPr="00833673" w:rsidRDefault="004C0749" w:rsidP="00833673">
      <w:pPr>
        <w:widowControl w:val="0"/>
        <w:spacing w:line="360" w:lineRule="auto"/>
        <w:ind w:right="-164"/>
        <w:jc w:val="both"/>
        <w:rPr>
          <w:rFonts w:ascii="Palatino Linotype" w:eastAsia="Calibri" w:hAnsi="Palatino Linotype" w:cs="Arial"/>
          <w:b/>
        </w:rPr>
      </w:pPr>
      <w:r w:rsidRPr="0083367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33673">
        <w:rPr>
          <w:rFonts w:ascii="Palatino Linotype" w:hAnsi="Palatino Linotype" w:cs="Arial"/>
          <w:b/>
          <w:lang w:val="es-ES_tradnl"/>
        </w:rPr>
        <w:t xml:space="preserve"> </w:t>
      </w:r>
      <w:r w:rsidRPr="00833673">
        <w:rPr>
          <w:rFonts w:ascii="Palatino Linotype" w:hAnsi="Palatino Linotype" w:cs="Arial"/>
          <w:b/>
        </w:rPr>
        <w:t xml:space="preserve">EVA ABAID YAPUR </w:t>
      </w:r>
      <w:r w:rsidRPr="00833673">
        <w:rPr>
          <w:rFonts w:ascii="Palatino Linotype" w:hAnsi="Palatino Linotype" w:cs="Arial"/>
        </w:rPr>
        <w:t xml:space="preserve">emite </w:t>
      </w:r>
      <w:r w:rsidRPr="00833673">
        <w:rPr>
          <w:rFonts w:ascii="Palatino Linotype" w:hAnsi="Palatino Linotype" w:cs="Arial"/>
          <w:b/>
        </w:rPr>
        <w:t xml:space="preserve">VOTO PARTICULAR </w:t>
      </w:r>
      <w:r w:rsidRPr="00833673">
        <w:rPr>
          <w:rFonts w:ascii="Palatino Linotype" w:hAnsi="Palatino Linotype" w:cs="Arial"/>
        </w:rPr>
        <w:t xml:space="preserve">respecto de la resolución dictada en el recurso de revisión </w:t>
      </w:r>
      <w:r w:rsidR="003954D7" w:rsidRPr="00833673">
        <w:rPr>
          <w:rFonts w:ascii="Palatino Linotype" w:eastAsia="Calibri" w:hAnsi="Palatino Linotype" w:cs="Arial"/>
          <w:b/>
        </w:rPr>
        <w:t>02188/INFOEM/IP/RR/2018</w:t>
      </w:r>
      <w:r w:rsidRPr="00833673">
        <w:rPr>
          <w:rFonts w:ascii="Palatino Linotype" w:hAnsi="Palatino Linotype" w:cs="Arial"/>
        </w:rPr>
        <w:t xml:space="preserve">, pronunciada por el Pleno de este Instituto ante el proyecto presentado por </w:t>
      </w:r>
      <w:r w:rsidR="00FD1F8B" w:rsidRPr="00833673">
        <w:rPr>
          <w:rFonts w:ascii="Palatino Linotype" w:hAnsi="Palatino Linotype" w:cs="Arial"/>
        </w:rPr>
        <w:t>el</w:t>
      </w:r>
      <w:r w:rsidRPr="00833673">
        <w:rPr>
          <w:rFonts w:ascii="Palatino Linotype" w:hAnsi="Palatino Linotype" w:cs="Arial"/>
        </w:rPr>
        <w:t xml:space="preserve"> Comisionad</w:t>
      </w:r>
      <w:r w:rsidR="00FD1F8B" w:rsidRPr="00833673">
        <w:rPr>
          <w:rFonts w:ascii="Palatino Linotype" w:hAnsi="Palatino Linotype" w:cs="Arial"/>
        </w:rPr>
        <w:t>o</w:t>
      </w:r>
      <w:r w:rsidRPr="00833673">
        <w:rPr>
          <w:rFonts w:ascii="Palatino Linotype" w:hAnsi="Palatino Linotype" w:cs="Arial"/>
        </w:rPr>
        <w:t xml:space="preserve"> </w:t>
      </w:r>
      <w:r w:rsidR="00FD1F8B" w:rsidRPr="00833673">
        <w:rPr>
          <w:rFonts w:ascii="Palatino Linotype" w:hAnsi="Palatino Linotype" w:cs="Arial"/>
          <w:b/>
        </w:rPr>
        <w:t>JOSÉ GUADALUPE LUNA HERNÁNDEZ</w:t>
      </w:r>
      <w:r w:rsidR="00833673" w:rsidRPr="00833673">
        <w:rPr>
          <w:rFonts w:ascii="Palatino Linotype" w:hAnsi="Palatino Linotype" w:cs="Arial"/>
        </w:rPr>
        <w:t>, que es del tenor siguiente.</w:t>
      </w:r>
    </w:p>
    <w:p w14:paraId="13CE8A79" w14:textId="77777777" w:rsidR="004C0749" w:rsidRPr="00833673" w:rsidRDefault="004C0749" w:rsidP="00833673">
      <w:pPr>
        <w:widowControl w:val="0"/>
        <w:spacing w:line="360" w:lineRule="auto"/>
        <w:ind w:right="-164"/>
        <w:jc w:val="both"/>
        <w:rPr>
          <w:rFonts w:ascii="Palatino Linotype" w:hAnsi="Palatino Linotype" w:cs="Arial"/>
        </w:rPr>
      </w:pPr>
    </w:p>
    <w:p w14:paraId="67F9C210" w14:textId="77777777" w:rsidR="00B97237" w:rsidRPr="00833673" w:rsidRDefault="004C0749" w:rsidP="00833673">
      <w:pPr>
        <w:spacing w:line="360" w:lineRule="auto"/>
        <w:jc w:val="both"/>
        <w:rPr>
          <w:rFonts w:ascii="Palatino Linotype" w:hAnsi="Palatino Linotype"/>
        </w:rPr>
      </w:pPr>
      <w:r w:rsidRPr="00833673">
        <w:rPr>
          <w:rFonts w:ascii="Palatino Linotype" w:hAnsi="Palatino Linotype"/>
        </w:rPr>
        <w:t xml:space="preserve">Es de destacar, que la suscrita comparte esencialmente el estudio realizado en la resolución del recurso de revisión; empero, </w:t>
      </w:r>
      <w:r w:rsidR="00B97237" w:rsidRPr="00833673">
        <w:rPr>
          <w:rFonts w:ascii="Palatino Linotype" w:hAnsi="Palatino Linotype"/>
        </w:rPr>
        <w:t>resulta</w:t>
      </w:r>
      <w:r w:rsidRPr="00833673">
        <w:rPr>
          <w:rFonts w:ascii="Palatino Linotype" w:hAnsi="Palatino Linotype"/>
        </w:rPr>
        <w:t xml:space="preserve"> necesario precisar algunas consideraciones de hecho y de derecho, tocante a lo ordenado en la resolución correspondiente.</w:t>
      </w:r>
    </w:p>
    <w:p w14:paraId="777B8183" w14:textId="77777777" w:rsidR="00F02E06" w:rsidRPr="00833673" w:rsidRDefault="00F02E06" w:rsidP="00833673">
      <w:pPr>
        <w:spacing w:line="360" w:lineRule="auto"/>
        <w:jc w:val="both"/>
        <w:rPr>
          <w:rFonts w:ascii="Palatino Linotype" w:hAnsi="Palatino Linotype"/>
        </w:rPr>
      </w:pPr>
    </w:p>
    <w:p w14:paraId="321DD529" w14:textId="7F27C530" w:rsidR="004C0749" w:rsidRPr="00833673" w:rsidRDefault="004C0749" w:rsidP="00833673">
      <w:pPr>
        <w:spacing w:line="360" w:lineRule="auto"/>
        <w:jc w:val="both"/>
        <w:rPr>
          <w:rFonts w:ascii="Palatino Linotype" w:hAnsi="Palatino Linotype"/>
        </w:rPr>
      </w:pPr>
      <w:r w:rsidRPr="00833673">
        <w:rPr>
          <w:rFonts w:ascii="Palatino Linotype" w:hAnsi="Palatino Linotype"/>
        </w:rPr>
        <w:t>Al respecto, tal y como quedó debidamente asentado en la resolución materia del presente voto, el particular requirió</w:t>
      </w:r>
      <w:r w:rsidR="003954D7" w:rsidRPr="00833673">
        <w:rPr>
          <w:rFonts w:ascii="Palatino Linotype" w:hAnsi="Palatino Linotype"/>
        </w:rPr>
        <w:t xml:space="preserve"> al </w:t>
      </w:r>
      <w:r w:rsidR="003954D7" w:rsidRPr="00833673">
        <w:rPr>
          <w:rFonts w:ascii="Palatino Linotype" w:hAnsi="Palatino Linotype"/>
          <w:b/>
        </w:rPr>
        <w:t>Ayuntamiento de Tultitlán</w:t>
      </w:r>
      <w:r w:rsidR="003954D7" w:rsidRPr="00833673">
        <w:rPr>
          <w:rFonts w:ascii="Palatino Linotype" w:hAnsi="Palatino Linotype"/>
        </w:rPr>
        <w:t xml:space="preserve"> en lo sucesivo </w:t>
      </w:r>
      <w:r w:rsidR="003954D7" w:rsidRPr="00833673">
        <w:rPr>
          <w:rFonts w:ascii="Palatino Linotype" w:hAnsi="Palatino Linotype"/>
          <w:b/>
        </w:rPr>
        <w:t>EL</w:t>
      </w:r>
      <w:r w:rsidRPr="00833673">
        <w:rPr>
          <w:rFonts w:ascii="Palatino Linotype" w:hAnsi="Palatino Linotype"/>
        </w:rPr>
        <w:t xml:space="preserve"> </w:t>
      </w:r>
      <w:r w:rsidRPr="00833673">
        <w:rPr>
          <w:rFonts w:ascii="Palatino Linotype" w:hAnsi="Palatino Linotype"/>
          <w:b/>
        </w:rPr>
        <w:lastRenderedPageBreak/>
        <w:t>SUJETO OBLIGADO</w:t>
      </w:r>
      <w:r w:rsidR="00833673" w:rsidRPr="00833673">
        <w:rPr>
          <w:rFonts w:ascii="Palatino Linotype" w:hAnsi="Palatino Linotype"/>
          <w:b/>
        </w:rPr>
        <w:t>,</w:t>
      </w:r>
      <w:r w:rsidRPr="00833673">
        <w:rPr>
          <w:rFonts w:ascii="Palatino Linotype" w:hAnsi="Palatino Linotype"/>
        </w:rPr>
        <w:t xml:space="preserve"> vía S</w:t>
      </w:r>
      <w:r w:rsidR="003954D7" w:rsidRPr="00833673">
        <w:rPr>
          <w:rFonts w:ascii="Palatino Linotype" w:hAnsi="Palatino Linotype"/>
        </w:rPr>
        <w:t xml:space="preserve">istema de </w:t>
      </w:r>
      <w:r w:rsidRPr="00833673">
        <w:rPr>
          <w:rFonts w:ascii="Palatino Linotype" w:hAnsi="Palatino Linotype"/>
        </w:rPr>
        <w:t>A</w:t>
      </w:r>
      <w:r w:rsidR="003954D7" w:rsidRPr="00833673">
        <w:rPr>
          <w:rFonts w:ascii="Palatino Linotype" w:hAnsi="Palatino Linotype"/>
        </w:rPr>
        <w:t xml:space="preserve">cceso a la Información </w:t>
      </w:r>
      <w:r w:rsidRPr="00833673">
        <w:rPr>
          <w:rFonts w:ascii="Palatino Linotype" w:hAnsi="Palatino Linotype"/>
        </w:rPr>
        <w:t>M</w:t>
      </w:r>
      <w:r w:rsidR="003954D7" w:rsidRPr="00833673">
        <w:rPr>
          <w:rFonts w:ascii="Palatino Linotype" w:hAnsi="Palatino Linotype"/>
        </w:rPr>
        <w:t>exiquense,</w:t>
      </w:r>
      <w:r w:rsidRPr="00833673">
        <w:rPr>
          <w:rFonts w:ascii="Palatino Linotype" w:hAnsi="Palatino Linotype"/>
        </w:rPr>
        <w:t xml:space="preserve"> se le informara </w:t>
      </w:r>
      <w:r w:rsidR="00FD467B" w:rsidRPr="00833673">
        <w:rPr>
          <w:rFonts w:ascii="Palatino Linotype" w:hAnsi="Palatino Linotype"/>
        </w:rPr>
        <w:t xml:space="preserve">si corresponde al </w:t>
      </w:r>
      <w:r w:rsidR="003954D7" w:rsidRPr="00833673">
        <w:rPr>
          <w:rFonts w:ascii="Palatino Linotype" w:hAnsi="Palatino Linotype"/>
        </w:rPr>
        <w:t>Municipio</w:t>
      </w:r>
      <w:r w:rsidR="00FD467B" w:rsidRPr="00833673">
        <w:rPr>
          <w:rFonts w:ascii="Palatino Linotype" w:hAnsi="Palatino Linotype"/>
        </w:rPr>
        <w:t xml:space="preserve"> de Tultepec o de Tultitlán </w:t>
      </w:r>
      <w:r w:rsidR="003954D7" w:rsidRPr="00833673">
        <w:rPr>
          <w:rFonts w:ascii="Palatino Linotype" w:hAnsi="Palatino Linotype"/>
        </w:rPr>
        <w:t>proporcionar los servicios públicos</w:t>
      </w:r>
      <w:r w:rsidR="00FD467B" w:rsidRPr="00833673">
        <w:rPr>
          <w:rFonts w:ascii="Palatino Linotype" w:hAnsi="Palatino Linotype"/>
        </w:rPr>
        <w:t xml:space="preserve"> en un Desarrollo Urbano descrito en la solicitud.</w:t>
      </w:r>
    </w:p>
    <w:p w14:paraId="061A2A29" w14:textId="77777777" w:rsidR="00B97237" w:rsidRPr="00833673" w:rsidRDefault="00B97237" w:rsidP="00833673">
      <w:pPr>
        <w:spacing w:line="360" w:lineRule="auto"/>
        <w:jc w:val="both"/>
        <w:rPr>
          <w:rFonts w:ascii="Palatino Linotype" w:hAnsi="Palatino Linotype"/>
        </w:rPr>
      </w:pPr>
    </w:p>
    <w:p w14:paraId="155C84EC" w14:textId="57DAE614" w:rsidR="00FD467B" w:rsidRPr="00833673" w:rsidRDefault="0080401F" w:rsidP="00833673">
      <w:pPr>
        <w:spacing w:line="360" w:lineRule="auto"/>
        <w:jc w:val="both"/>
        <w:rPr>
          <w:rFonts w:ascii="Palatino Linotype" w:hAnsi="Palatino Linotype" w:cs="Arial"/>
        </w:rPr>
      </w:pPr>
      <w:r w:rsidRPr="00833673">
        <w:rPr>
          <w:rFonts w:ascii="Palatino Linotype" w:hAnsi="Palatino Linotype" w:cs="Arial"/>
        </w:rPr>
        <w:t xml:space="preserve">Del expediente electrónico se advierte que </w:t>
      </w:r>
      <w:r w:rsidR="004C0749" w:rsidRPr="00833673">
        <w:rPr>
          <w:rFonts w:ascii="Palatino Linotype" w:hAnsi="Palatino Linotype" w:cs="Arial"/>
          <w:b/>
        </w:rPr>
        <w:t>EL SUJETO OBLIGADO</w:t>
      </w:r>
      <w:r w:rsidR="004C0749" w:rsidRPr="00833673">
        <w:rPr>
          <w:rFonts w:ascii="Palatino Linotype" w:hAnsi="Palatino Linotype" w:cs="Arial"/>
        </w:rPr>
        <w:t xml:space="preserve"> </w:t>
      </w:r>
      <w:r w:rsidR="00FD467B" w:rsidRPr="00833673">
        <w:rPr>
          <w:rFonts w:ascii="Palatino Linotype" w:hAnsi="Palatino Linotype" w:cs="Arial"/>
        </w:rPr>
        <w:t>fue omiso en atender el requerimiento del ciudadano  por lo que éste procedió a interponer el recurso de revisión de mérito, adoleciéndose toralmente de la negativa a su solicitud.</w:t>
      </w:r>
    </w:p>
    <w:p w14:paraId="2E118FD1" w14:textId="77777777" w:rsidR="00FD467B" w:rsidRPr="00833673" w:rsidRDefault="00FD467B" w:rsidP="00833673">
      <w:pPr>
        <w:spacing w:line="360" w:lineRule="auto"/>
        <w:jc w:val="both"/>
        <w:rPr>
          <w:rFonts w:ascii="Palatino Linotype" w:hAnsi="Palatino Linotype" w:cs="Arial"/>
        </w:rPr>
      </w:pPr>
    </w:p>
    <w:p w14:paraId="079821C6" w14:textId="50EE8B49" w:rsidR="00B71B09" w:rsidRPr="00833673" w:rsidRDefault="00B71B09" w:rsidP="00833673">
      <w:pPr>
        <w:spacing w:line="360" w:lineRule="auto"/>
        <w:jc w:val="both"/>
        <w:rPr>
          <w:rFonts w:ascii="Palatino Linotype" w:hAnsi="Palatino Linotype" w:cs="Arial"/>
        </w:rPr>
      </w:pPr>
      <w:r w:rsidRPr="00833673">
        <w:rPr>
          <w:rFonts w:ascii="Palatino Linotype" w:hAnsi="Palatino Linotype" w:cs="Arial"/>
        </w:rPr>
        <w:t xml:space="preserve">Posteriormente, a través de su Informe Justificado </w:t>
      </w:r>
      <w:r w:rsidRPr="00833673">
        <w:rPr>
          <w:rFonts w:ascii="Palatino Linotype" w:hAnsi="Palatino Linotype" w:cs="Arial"/>
          <w:b/>
        </w:rPr>
        <w:t xml:space="preserve">EL SUJETO OBLIGADO </w:t>
      </w:r>
      <w:r w:rsidRPr="00833673">
        <w:rPr>
          <w:rFonts w:ascii="Palatino Linotype" w:hAnsi="Palatino Linotype" w:cs="Arial"/>
        </w:rPr>
        <w:t>señaló que no presta ningún servicio público, en virtud de que actualmente se encuentran en litigio el Municipio de Tultitlán y Tultepec respecto de sus límites territoriales.</w:t>
      </w:r>
    </w:p>
    <w:p w14:paraId="27FCC3E1" w14:textId="77777777" w:rsidR="00B71B09" w:rsidRPr="00833673" w:rsidRDefault="00B71B09" w:rsidP="00833673">
      <w:pPr>
        <w:spacing w:line="360" w:lineRule="auto"/>
        <w:jc w:val="both"/>
        <w:rPr>
          <w:rFonts w:ascii="Palatino Linotype" w:hAnsi="Palatino Linotype" w:cs="Arial"/>
        </w:rPr>
      </w:pPr>
    </w:p>
    <w:p w14:paraId="5B7FE069" w14:textId="1605FF81" w:rsidR="00C46934" w:rsidRPr="00833673" w:rsidRDefault="00C46934" w:rsidP="00833673">
      <w:pPr>
        <w:spacing w:line="360" w:lineRule="auto"/>
        <w:jc w:val="both"/>
        <w:rPr>
          <w:rFonts w:ascii="Palatino Linotype" w:hAnsi="Palatino Linotype" w:cs="Arial"/>
          <w:b/>
          <w:lang w:val="es-MX"/>
        </w:rPr>
      </w:pPr>
      <w:r w:rsidRPr="00833673">
        <w:rPr>
          <w:rFonts w:ascii="Palatino Linotype" w:hAnsi="Palatino Linotype"/>
        </w:rPr>
        <w:t xml:space="preserve">Así, del estudio </w:t>
      </w:r>
      <w:r w:rsidR="00833673" w:rsidRPr="00833673">
        <w:rPr>
          <w:rFonts w:ascii="Palatino Linotype" w:hAnsi="Palatino Linotype"/>
        </w:rPr>
        <w:t>a</w:t>
      </w:r>
      <w:r w:rsidRPr="00833673">
        <w:rPr>
          <w:rFonts w:ascii="Palatino Linotype" w:hAnsi="Palatino Linotype"/>
        </w:rPr>
        <w:t xml:space="preserve">l expediente electrónico del SAIMEX, la Ponencia </w:t>
      </w:r>
      <w:proofErr w:type="spellStart"/>
      <w:r w:rsidRPr="00833673">
        <w:rPr>
          <w:rFonts w:ascii="Palatino Linotype" w:hAnsi="Palatino Linotype"/>
        </w:rPr>
        <w:t>Resolutora</w:t>
      </w:r>
      <w:proofErr w:type="spellEnd"/>
      <w:r w:rsidRPr="00833673">
        <w:rPr>
          <w:rFonts w:ascii="Palatino Linotype" w:hAnsi="Palatino Linotype" w:cs="Arial"/>
        </w:rPr>
        <w:t xml:space="preserve"> determinó </w:t>
      </w:r>
      <w:r w:rsidR="00B71B09" w:rsidRPr="00833673">
        <w:rPr>
          <w:rFonts w:ascii="Palatino Linotype" w:hAnsi="Palatino Linotype" w:cs="Arial"/>
          <w:b/>
        </w:rPr>
        <w:t>ORDENAR</w:t>
      </w:r>
      <w:r w:rsidRPr="00833673">
        <w:rPr>
          <w:rFonts w:ascii="Palatino Linotype" w:hAnsi="Palatino Linotype" w:cs="Arial"/>
          <w:b/>
        </w:rPr>
        <w:t xml:space="preserve"> </w:t>
      </w:r>
      <w:r w:rsidR="00B71B09" w:rsidRPr="00833673">
        <w:rPr>
          <w:rFonts w:ascii="Palatino Linotype" w:hAnsi="Palatino Linotype" w:cs="Arial"/>
        </w:rPr>
        <w:t>al</w:t>
      </w:r>
      <w:r w:rsidRPr="00833673">
        <w:rPr>
          <w:rFonts w:ascii="Palatino Linotype" w:hAnsi="Palatino Linotype" w:cs="Arial"/>
        </w:rPr>
        <w:t xml:space="preserve"> </w:t>
      </w:r>
      <w:r w:rsidRPr="00833673">
        <w:rPr>
          <w:rFonts w:ascii="Palatino Linotype" w:hAnsi="Palatino Linotype" w:cs="Arial"/>
          <w:b/>
        </w:rPr>
        <w:t>SUJETO OBLIGADO</w:t>
      </w:r>
      <w:r w:rsidR="00B71B09" w:rsidRPr="00833673">
        <w:rPr>
          <w:rFonts w:ascii="Palatino Linotype" w:hAnsi="Palatino Linotype" w:cs="Arial"/>
          <w:b/>
        </w:rPr>
        <w:t xml:space="preserve"> </w:t>
      </w:r>
      <w:r w:rsidR="00F231EA" w:rsidRPr="00833673">
        <w:rPr>
          <w:rFonts w:ascii="Palatino Linotype" w:hAnsi="Palatino Linotype" w:cs="Arial"/>
        </w:rPr>
        <w:t>informara si le corresponde la prestación de servicios públicos municipales en los límites territoriales que refiere la solicitud de información 00066/TULTITLA/IP/2018.</w:t>
      </w:r>
    </w:p>
    <w:p w14:paraId="19F6C3D2" w14:textId="77777777" w:rsidR="004C0749" w:rsidRPr="00833673" w:rsidRDefault="004C0749" w:rsidP="00833673">
      <w:pPr>
        <w:spacing w:line="360" w:lineRule="auto"/>
        <w:jc w:val="both"/>
        <w:rPr>
          <w:rFonts w:ascii="Palatino Linotype" w:hAnsi="Palatino Linotype" w:cs="Arial"/>
          <w:b/>
          <w:lang w:val="es-MX"/>
        </w:rPr>
      </w:pPr>
    </w:p>
    <w:p w14:paraId="40C7FDE6" w14:textId="46AB7492" w:rsidR="00C46934" w:rsidRPr="00833673" w:rsidRDefault="00C46934" w:rsidP="00833673">
      <w:pPr>
        <w:widowControl w:val="0"/>
        <w:autoSpaceDE w:val="0"/>
        <w:autoSpaceDN w:val="0"/>
        <w:adjustRightInd w:val="0"/>
        <w:spacing w:line="360" w:lineRule="auto"/>
        <w:jc w:val="both"/>
        <w:rPr>
          <w:rFonts w:ascii="Palatino Linotype" w:hAnsi="Palatino Linotype" w:cs="Arial"/>
        </w:rPr>
      </w:pPr>
      <w:r w:rsidRPr="00833673">
        <w:rPr>
          <w:rFonts w:ascii="Palatino Linotype" w:hAnsi="Palatino Linotype" w:cs="Arial"/>
        </w:rPr>
        <w:t xml:space="preserve">En ese sentido, la que suscribe reitera, que si bien coincide en términos generales con el estudio de la resolución en comento, difiero respecto al hecho de ordenar </w:t>
      </w:r>
      <w:r w:rsidR="00062430" w:rsidRPr="00833673">
        <w:rPr>
          <w:rFonts w:ascii="Palatino Linotype" w:hAnsi="Palatino Linotype" w:cs="Arial"/>
        </w:rPr>
        <w:t>la información en</w:t>
      </w:r>
      <w:r w:rsidR="00F231EA" w:rsidRPr="00833673">
        <w:rPr>
          <w:rFonts w:ascii="Palatino Linotype" w:hAnsi="Palatino Linotype" w:cs="Arial"/>
        </w:rPr>
        <w:t xml:space="preserve"> los</w:t>
      </w:r>
      <w:r w:rsidR="00062430" w:rsidRPr="00833673">
        <w:rPr>
          <w:rFonts w:ascii="Palatino Linotype" w:hAnsi="Palatino Linotype" w:cs="Arial"/>
        </w:rPr>
        <w:t xml:space="preserve"> términos </w:t>
      </w:r>
      <w:r w:rsidR="00F231EA" w:rsidRPr="00833673">
        <w:rPr>
          <w:rFonts w:ascii="Palatino Linotype" w:hAnsi="Palatino Linotype" w:cs="Arial"/>
        </w:rPr>
        <w:t>descritos en el resolutivo SEGUNDO.</w:t>
      </w:r>
    </w:p>
    <w:p w14:paraId="16CC6530" w14:textId="77777777" w:rsidR="004C0749" w:rsidRPr="00833673" w:rsidRDefault="004C0749" w:rsidP="00833673">
      <w:pPr>
        <w:spacing w:line="360" w:lineRule="auto"/>
        <w:jc w:val="both"/>
        <w:rPr>
          <w:rFonts w:ascii="Palatino Linotype" w:hAnsi="Palatino Linotype" w:cs="Arial"/>
          <w:lang w:val="es-MX"/>
        </w:rPr>
      </w:pPr>
    </w:p>
    <w:p w14:paraId="4C615550" w14:textId="77777777" w:rsidR="00F231EA" w:rsidRPr="00833673" w:rsidRDefault="004C0749" w:rsidP="00833673">
      <w:pPr>
        <w:spacing w:line="360" w:lineRule="auto"/>
        <w:jc w:val="both"/>
        <w:rPr>
          <w:rFonts w:ascii="Palatino Linotype" w:hAnsi="Palatino Linotype" w:cs="Arial"/>
        </w:rPr>
      </w:pPr>
      <w:r w:rsidRPr="00833673">
        <w:rPr>
          <w:rFonts w:ascii="Palatino Linotype" w:hAnsi="Palatino Linotype" w:cs="Arial"/>
          <w:lang w:val="es-MX"/>
        </w:rPr>
        <w:t>Lo anterior</w:t>
      </w:r>
      <w:r w:rsidR="006C101D" w:rsidRPr="00833673">
        <w:rPr>
          <w:rFonts w:ascii="Palatino Linotype" w:hAnsi="Palatino Linotype" w:cs="Arial"/>
          <w:lang w:val="es-MX"/>
        </w:rPr>
        <w:t>,</w:t>
      </w:r>
      <w:r w:rsidR="00C46934" w:rsidRPr="00833673">
        <w:rPr>
          <w:rFonts w:ascii="Palatino Linotype" w:hAnsi="Palatino Linotype" w:cs="Arial"/>
          <w:lang w:val="es-MX"/>
        </w:rPr>
        <w:t xml:space="preserve"> obedece a que, </w:t>
      </w:r>
      <w:r w:rsidR="00264E9B" w:rsidRPr="00833673">
        <w:rPr>
          <w:rFonts w:ascii="Palatino Linotype" w:hAnsi="Palatino Linotype" w:cs="Arial"/>
        </w:rPr>
        <w:t xml:space="preserve">no </w:t>
      </w:r>
      <w:r w:rsidR="00F231EA" w:rsidRPr="00833673">
        <w:rPr>
          <w:rFonts w:ascii="Palatino Linotype" w:hAnsi="Palatino Linotype" w:cs="Arial"/>
        </w:rPr>
        <w:t xml:space="preserve">se ordena un documento generado, recopilado, administrado, manejado, procesado, archivado o conservado por </w:t>
      </w:r>
      <w:r w:rsidR="00F231EA" w:rsidRPr="00833673">
        <w:rPr>
          <w:rFonts w:ascii="Palatino Linotype" w:hAnsi="Palatino Linotype" w:cs="Arial"/>
          <w:b/>
        </w:rPr>
        <w:t xml:space="preserve">EL SUJETO </w:t>
      </w:r>
      <w:r w:rsidR="00F231EA" w:rsidRPr="00833673">
        <w:rPr>
          <w:rFonts w:ascii="Palatino Linotype" w:hAnsi="Palatino Linotype" w:cs="Arial"/>
          <w:b/>
        </w:rPr>
        <w:lastRenderedPageBreak/>
        <w:t>OBLIGADO</w:t>
      </w:r>
      <w:r w:rsidR="00F231EA" w:rsidRPr="00833673">
        <w:rPr>
          <w:rFonts w:ascii="Palatino Linotype" w:hAnsi="Palatino Linotype" w:cs="Arial"/>
        </w:rPr>
        <w:t xml:space="preserve"> y que obre en sus archivos, sino que de la redacción se advierte </w:t>
      </w:r>
      <w:r w:rsidR="00264E9B" w:rsidRPr="00833673">
        <w:rPr>
          <w:rFonts w:ascii="Palatino Linotype" w:hAnsi="Palatino Linotype" w:cs="Arial"/>
        </w:rPr>
        <w:t xml:space="preserve">que éste es un documento </w:t>
      </w:r>
      <w:r w:rsidR="00264E9B" w:rsidRPr="00833673">
        <w:rPr>
          <w:rFonts w:ascii="Palatino Linotype" w:hAnsi="Palatino Linotype" w:cs="Arial"/>
          <w:b/>
          <w:i/>
        </w:rPr>
        <w:t>ad hoc</w:t>
      </w:r>
      <w:r w:rsidR="00264E9B" w:rsidRPr="00833673">
        <w:rPr>
          <w:rFonts w:ascii="Palatino Linotype" w:hAnsi="Palatino Linotype" w:cs="Arial"/>
        </w:rPr>
        <w:t xml:space="preserve">, el cual si bien es cierto que no constituye impedimento para los </w:t>
      </w:r>
      <w:r w:rsidR="00E2558A" w:rsidRPr="00833673">
        <w:rPr>
          <w:rFonts w:ascii="Palatino Linotype" w:hAnsi="Palatino Linotype" w:cs="Arial"/>
        </w:rPr>
        <w:t>S</w:t>
      </w:r>
      <w:r w:rsidR="00264E9B" w:rsidRPr="00833673">
        <w:rPr>
          <w:rFonts w:ascii="Palatino Linotype" w:hAnsi="Palatino Linotype" w:cs="Arial"/>
        </w:rPr>
        <w:t xml:space="preserve">ujetos </w:t>
      </w:r>
      <w:r w:rsidR="00E2558A" w:rsidRPr="00833673">
        <w:rPr>
          <w:rFonts w:ascii="Palatino Linotype" w:hAnsi="Palatino Linotype" w:cs="Arial"/>
        </w:rPr>
        <w:t>O</w:t>
      </w:r>
      <w:r w:rsidR="00264E9B" w:rsidRPr="00833673">
        <w:rPr>
          <w:rFonts w:ascii="Palatino Linotype" w:hAnsi="Palatino Linotype" w:cs="Arial"/>
        </w:rPr>
        <w:t>bligados procesar, sintetizar, efectuar investigaciones o cálculos en su intensión de satisfacer el derecho de acceso a la información pública; también lo es que</w:t>
      </w:r>
      <w:r w:rsidR="00E2558A" w:rsidRPr="00833673">
        <w:rPr>
          <w:rFonts w:ascii="Palatino Linotype" w:hAnsi="Palatino Linotype" w:cs="Arial"/>
        </w:rPr>
        <w:t>,</w:t>
      </w:r>
      <w:r w:rsidR="00264E9B" w:rsidRPr="00833673">
        <w:rPr>
          <w:rFonts w:ascii="Palatino Linotype" w:hAnsi="Palatino Linotype" w:cs="Arial"/>
        </w:rPr>
        <w:t xml:space="preserve"> el artículo 12 de la </w:t>
      </w:r>
      <w:r w:rsidR="00E2558A" w:rsidRPr="00833673">
        <w:rPr>
          <w:rFonts w:ascii="Palatino Linotype" w:hAnsi="Palatino Linotype" w:cs="Arial"/>
        </w:rPr>
        <w:t>L</w:t>
      </w:r>
      <w:r w:rsidR="00264E9B" w:rsidRPr="00833673">
        <w:rPr>
          <w:rFonts w:ascii="Palatino Linotype" w:hAnsi="Palatino Linotype" w:cs="Arial"/>
        </w:rPr>
        <w:t xml:space="preserve">ey de la materia, establece que los </w:t>
      </w:r>
      <w:r w:rsidR="00E2558A" w:rsidRPr="00833673">
        <w:rPr>
          <w:rFonts w:ascii="Palatino Linotype" w:hAnsi="Palatino Linotype" w:cs="Arial"/>
        </w:rPr>
        <w:t>S</w:t>
      </w:r>
      <w:r w:rsidR="00264E9B" w:rsidRPr="00833673">
        <w:rPr>
          <w:rFonts w:ascii="Palatino Linotype" w:hAnsi="Palatino Linotype" w:cs="Arial"/>
        </w:rPr>
        <w:t xml:space="preserve">ujetos </w:t>
      </w:r>
      <w:r w:rsidR="00E2558A" w:rsidRPr="00833673">
        <w:rPr>
          <w:rFonts w:ascii="Palatino Linotype" w:hAnsi="Palatino Linotype" w:cs="Arial"/>
        </w:rPr>
        <w:t>O</w:t>
      </w:r>
      <w:r w:rsidR="00264E9B" w:rsidRPr="00833673">
        <w:rPr>
          <w:rFonts w:ascii="Palatino Linotype" w:hAnsi="Palatino Linotype" w:cs="Arial"/>
        </w:rPr>
        <w:t>bligados tienen el deber de entregar la información pública solicitada en la forma en que la generaron, poseen o administran; y no por el hecho de que a los Sujetos Obligados les asista la facultad potestativa de practicar investigaciones, cálculos, sintetizar o procesar la información pública a efecto de entregarla a quien la solicite a través de esta vía; implica que este Órgano Garante ordene la entrega de información en ese sentido.</w:t>
      </w:r>
    </w:p>
    <w:p w14:paraId="6578C44F" w14:textId="77777777" w:rsidR="00F231EA" w:rsidRPr="00833673" w:rsidRDefault="00F231EA" w:rsidP="00833673">
      <w:pPr>
        <w:spacing w:line="360" w:lineRule="auto"/>
        <w:jc w:val="both"/>
        <w:rPr>
          <w:rFonts w:ascii="Palatino Linotype" w:hAnsi="Palatino Linotype" w:cs="Arial"/>
        </w:rPr>
      </w:pPr>
    </w:p>
    <w:p w14:paraId="16D9E8CF" w14:textId="74AD406A" w:rsidR="00F231EA" w:rsidRPr="00833673" w:rsidRDefault="00F231EA" w:rsidP="00833673">
      <w:pPr>
        <w:spacing w:line="360" w:lineRule="auto"/>
        <w:jc w:val="both"/>
        <w:rPr>
          <w:rFonts w:ascii="Palatino Linotype" w:hAnsi="Palatino Linotype" w:cs="Arial"/>
        </w:rPr>
      </w:pPr>
      <w:r w:rsidRPr="00833673">
        <w:rPr>
          <w:rFonts w:ascii="Palatino Linotype" w:hAnsi="Palatino Linotype" w:cs="Arial"/>
        </w:rPr>
        <w:t xml:space="preserve">Refuerzo de lo anterior, es que de la literalidad de lo que se ordena en el resolutivo SEGUNDO, se requiere del </w:t>
      </w:r>
      <w:r w:rsidRPr="00833673">
        <w:rPr>
          <w:rFonts w:ascii="Palatino Linotype" w:hAnsi="Palatino Linotype" w:cs="Arial"/>
          <w:b/>
        </w:rPr>
        <w:t>SUJETO OBLIGADO</w:t>
      </w:r>
      <w:r w:rsidRPr="00833673">
        <w:rPr>
          <w:rFonts w:ascii="Palatino Linotype" w:hAnsi="Palatino Linotype" w:cs="Arial"/>
        </w:rPr>
        <w:t xml:space="preserve"> un pronunciamiento por parte de este que no constituiría </w:t>
      </w:r>
      <w:r w:rsidRPr="00833673">
        <w:rPr>
          <w:rFonts w:ascii="Palatino Linotype" w:hAnsi="Palatino Linotype"/>
        </w:rPr>
        <w:t xml:space="preserve">un derecho de acceso a la información pública, sino un derecho de petición, debido a que se trata de un </w:t>
      </w:r>
      <w:r w:rsidR="00833673" w:rsidRPr="00833673">
        <w:rPr>
          <w:rFonts w:ascii="Palatino Linotype" w:hAnsi="Palatino Linotype"/>
        </w:rPr>
        <w:t>pronunciamiento requerido</w:t>
      </w:r>
      <w:r w:rsidRPr="00833673">
        <w:rPr>
          <w:rFonts w:ascii="Palatino Linotype" w:hAnsi="Palatino Linotype"/>
        </w:rPr>
        <w:t xml:space="preserve"> por la </w:t>
      </w:r>
      <w:r w:rsidR="00833673" w:rsidRPr="00833673">
        <w:rPr>
          <w:rFonts w:ascii="Palatino Linotype" w:hAnsi="Palatino Linotype"/>
        </w:rPr>
        <w:t>P</w:t>
      </w:r>
      <w:r w:rsidRPr="00833673">
        <w:rPr>
          <w:rFonts w:ascii="Palatino Linotype" w:hAnsi="Palatino Linotype"/>
        </w:rPr>
        <w:t xml:space="preserve">onencia </w:t>
      </w:r>
      <w:r w:rsidR="00833673" w:rsidRPr="00833673">
        <w:rPr>
          <w:rFonts w:ascii="Palatino Linotype" w:hAnsi="Palatino Linotype"/>
        </w:rPr>
        <w:t xml:space="preserve"> </w:t>
      </w:r>
      <w:proofErr w:type="spellStart"/>
      <w:r w:rsidR="00833673" w:rsidRPr="00833673">
        <w:rPr>
          <w:rFonts w:ascii="Palatino Linotype" w:hAnsi="Palatino Linotype"/>
        </w:rPr>
        <w:t>Resolutora</w:t>
      </w:r>
      <w:proofErr w:type="spellEnd"/>
      <w:r w:rsidR="00833673" w:rsidRPr="00833673">
        <w:rPr>
          <w:rFonts w:ascii="Palatino Linotype" w:hAnsi="Palatino Linotype"/>
        </w:rPr>
        <w:t xml:space="preserve"> </w:t>
      </w:r>
      <w:r w:rsidRPr="00833673">
        <w:rPr>
          <w:rFonts w:ascii="Palatino Linotype" w:hAnsi="Palatino Linotype"/>
        </w:rPr>
        <w:t>derivado del formulado en primera instancia por el entonces solicitante, interrogantes y declaraciones que no se colman con la entrega de documentos en su caso con el proceso de información contenido en los mismos, situación que conlleva a afirmar que se está ante la presencia del ejercicio del derecho enunciado.</w:t>
      </w:r>
    </w:p>
    <w:p w14:paraId="61EE308D" w14:textId="77777777" w:rsidR="00F231EA" w:rsidRPr="00833673" w:rsidRDefault="00F231EA" w:rsidP="00833673">
      <w:pPr>
        <w:spacing w:line="360" w:lineRule="auto"/>
        <w:jc w:val="both"/>
        <w:rPr>
          <w:rFonts w:ascii="Palatino Linotype" w:hAnsi="Palatino Linotype" w:cs="Arial"/>
        </w:rPr>
      </w:pPr>
    </w:p>
    <w:p w14:paraId="6DF6DB0F"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En este orden de ideas, es importante dejar en claro lo que debe entenderse por derecho de petición, así como por derecho de acceso a la información pública, con el objeto de distinguir el ejercicio de ambos derechos.</w:t>
      </w:r>
    </w:p>
    <w:p w14:paraId="4E260E79" w14:textId="323EB9D3" w:rsidR="00F231EA" w:rsidRPr="00833673" w:rsidRDefault="00F231EA" w:rsidP="00833673">
      <w:pPr>
        <w:spacing w:line="360" w:lineRule="auto"/>
        <w:jc w:val="both"/>
        <w:rPr>
          <w:rFonts w:ascii="Palatino Linotype" w:hAnsi="Palatino Linotype"/>
        </w:rPr>
      </w:pPr>
      <w:r w:rsidRPr="00833673">
        <w:rPr>
          <w:rFonts w:ascii="Palatino Linotype" w:hAnsi="Palatino Linotype"/>
        </w:rPr>
        <w:lastRenderedPageBreak/>
        <w:t>Por lo que respecta a la definición de Derecho de Petición, el Maestro Ignacio Burgoa Orihuela refiere:</w:t>
      </w:r>
    </w:p>
    <w:p w14:paraId="250615FE"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75868989"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33673">
        <w:rPr>
          <w:rFonts w:ascii="Palatino Linotype" w:hAnsi="Palatino Linotype"/>
          <w:sz w:val="22"/>
        </w:rPr>
        <w:t>Sic)</w:t>
      </w:r>
    </w:p>
    <w:p w14:paraId="45574BEC"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i/>
          <w:iCs/>
        </w:rPr>
        <w:t> </w:t>
      </w:r>
    </w:p>
    <w:p w14:paraId="41088004"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Por su parte, David Cienfuegos Salgado, concibe al derecho de petición como:</w:t>
      </w:r>
    </w:p>
    <w:p w14:paraId="7E23E6C7"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42594B84"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el derecho de toda persona a ser escuchado por quienes ejercen el poder público...” </w:t>
      </w:r>
      <w:r w:rsidRPr="00833673">
        <w:rPr>
          <w:rFonts w:ascii="Palatino Linotype" w:hAnsi="Palatino Linotype"/>
          <w:sz w:val="22"/>
        </w:rPr>
        <w:t>(Sic)</w:t>
      </w:r>
    </w:p>
    <w:p w14:paraId="76B2DE17"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i/>
          <w:iCs/>
        </w:rPr>
        <w:t> </w:t>
      </w:r>
    </w:p>
    <w:p w14:paraId="46FF2213"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Al respecto, para diferenciar el derecho de petición del derecho de acceso a la información, resulta conducente señalar que José Guadalupe Robles, conceptualiza al derecho a la información como:</w:t>
      </w:r>
    </w:p>
    <w:p w14:paraId="44CB0759"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3BE5B002"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833673">
        <w:rPr>
          <w:rFonts w:ascii="Palatino Linotype" w:hAnsi="Palatino Linotype"/>
          <w:sz w:val="22"/>
        </w:rPr>
        <w:t>(Sic)</w:t>
      </w:r>
    </w:p>
    <w:p w14:paraId="759E0BEC"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i/>
          <w:iCs/>
        </w:rPr>
        <w:t> </w:t>
      </w:r>
    </w:p>
    <w:p w14:paraId="4B3C5CB6"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351377A4" w14:textId="6F6AE054" w:rsidR="00F231EA" w:rsidRPr="00833673" w:rsidRDefault="00F231EA" w:rsidP="00833673">
      <w:pPr>
        <w:ind w:left="709" w:right="757"/>
        <w:jc w:val="both"/>
        <w:rPr>
          <w:rFonts w:ascii="Palatino Linotype" w:hAnsi="Palatino Linotype"/>
          <w:sz w:val="22"/>
        </w:rPr>
      </w:pPr>
      <w:r w:rsidRPr="00833673">
        <w:rPr>
          <w:rFonts w:ascii="Palatino Linotype" w:hAnsi="Palatino Linotype"/>
          <w:sz w:val="22"/>
        </w:rPr>
        <w:lastRenderedPageBreak/>
        <w:t> “</w:t>
      </w:r>
      <w:r w:rsidRPr="00833673">
        <w:rPr>
          <w:rFonts w:ascii="Palatino Linotype" w:hAnsi="Palatino Linotype"/>
          <w:b/>
          <w:bCs/>
          <w:i/>
          <w:iCs/>
          <w:sz w:val="22"/>
        </w:rPr>
        <w:t>Artículo 4.</w:t>
      </w:r>
      <w:r w:rsidRPr="00833673">
        <w:rPr>
          <w:rFonts w:ascii="Palatino Linotype" w:hAnsi="Palatino Linotype"/>
          <w:i/>
          <w:iCs/>
          <w:sz w:val="22"/>
        </w:rPr>
        <w:t> El derecho humano de acceso a la información pública es la prerrogativa de las personas para buscar, difundir, investigar, recabar, recibir y solicitar información pública, sin necesidad de acreditar personalidad ni interés jurídico.</w:t>
      </w:r>
    </w:p>
    <w:p w14:paraId="46E19BAE"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581E3887"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6B767A"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27ACDB39"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Los sujetos obligados deben poner en práctica, políticas y programas de acceso a la información</w:t>
      </w:r>
      <w:r w:rsidRPr="00833673">
        <w:rPr>
          <w:rFonts w:ascii="Palatino Linotype" w:hAnsi="Palatino Linotype"/>
          <w:sz w:val="22"/>
        </w:rPr>
        <w:t> </w:t>
      </w:r>
      <w:r w:rsidRPr="00833673">
        <w:rPr>
          <w:rFonts w:ascii="Palatino Linotype" w:hAnsi="Palatino Linotype"/>
          <w:i/>
          <w:iCs/>
          <w:sz w:val="22"/>
        </w:rPr>
        <w:t>que se apeguen a criterios de publicidad, veracidad, oportunidad, precisión y suficiencia en beneficio de los solicitantes.”</w:t>
      </w:r>
    </w:p>
    <w:p w14:paraId="2D62D653"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i/>
          <w:iCs/>
        </w:rPr>
        <w:t> </w:t>
      </w:r>
    </w:p>
    <w:p w14:paraId="43C505F8"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7882D06F"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4D832E41"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w:t>
      </w:r>
      <w:r w:rsidRPr="00833673">
        <w:rPr>
          <w:rFonts w:ascii="Palatino Linotype" w:hAnsi="Palatino Linotype"/>
        </w:rPr>
        <w:lastRenderedPageBreak/>
        <w:t>Acceso a la Información Pública del Estado de México y Municipios y demás disposiciones de la materia, privilegiando el principio de máxima publicidad de la información.</w:t>
      </w:r>
    </w:p>
    <w:p w14:paraId="3C925E3D"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56360FD8"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En esa tesitura, los Sujetos Obligados deberán poner en práctica, políticas y programas de acceso a la información que se apeguen a criterios de publicidad, veracidad, oportunidad, precisión y suficiencia en beneficio de los solicitantes.</w:t>
      </w:r>
    </w:p>
    <w:p w14:paraId="730AA875"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7AED8C48" w14:textId="358D2988" w:rsidR="00F231EA" w:rsidRPr="00833673" w:rsidRDefault="00F231EA" w:rsidP="00833673">
      <w:pPr>
        <w:spacing w:line="360" w:lineRule="auto"/>
        <w:jc w:val="both"/>
        <w:rPr>
          <w:rFonts w:ascii="Palatino Linotype" w:hAnsi="Palatino Linotype"/>
        </w:rPr>
      </w:pPr>
      <w:r w:rsidRPr="00833673">
        <w:rPr>
          <w:rFonts w:ascii="Palatino Linotype" w:hAnsi="Palatino Linotype"/>
        </w:rPr>
        <w:t>Lo anterior, tiene sustento en los artículos 3</w:t>
      </w:r>
      <w:r w:rsidR="00833673" w:rsidRPr="00833673">
        <w:rPr>
          <w:rFonts w:ascii="Palatino Linotype" w:hAnsi="Palatino Linotype"/>
        </w:rPr>
        <w:t>,</w:t>
      </w:r>
      <w:r w:rsidRPr="00833673">
        <w:rPr>
          <w:rFonts w:ascii="Palatino Linotype" w:hAnsi="Palatino Linotype"/>
        </w:rPr>
        <w:t xml:space="preserve"> fracciones XI y XXII; 4; 11, 12 y 41 de la Ley de Transparencia y Acceso a la Información Pública del Estado de México y Municipios:</w:t>
      </w:r>
    </w:p>
    <w:p w14:paraId="062BA90F"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54016483"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“Artículo 3. Para los efectos de la presente Ley se entenderá por: </w:t>
      </w:r>
      <w:r w:rsidRPr="00833673">
        <w:rPr>
          <w:rFonts w:ascii="Palatino Linotype" w:hAnsi="Palatino Linotype"/>
          <w:i/>
          <w:iCs/>
          <w:sz w:val="22"/>
        </w:rPr>
        <w:t>…</w:t>
      </w:r>
    </w:p>
    <w:p w14:paraId="5479DB0B"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w:t>
      </w:r>
    </w:p>
    <w:p w14:paraId="61D50C96"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XI. Documento:</w:t>
      </w:r>
      <w:r w:rsidRPr="00833673">
        <w:rPr>
          <w:rFonts w:ascii="Palatino Linotype" w:hAnsi="Palatino Linotype"/>
          <w:i/>
          <w:iCs/>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50BD4B"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457AC82D"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XII. Documento electrónico</w:t>
      </w:r>
      <w:r w:rsidRPr="00833673">
        <w:rPr>
          <w:rFonts w:ascii="Palatino Linotype" w:hAnsi="Palatino Linotype"/>
          <w:i/>
          <w:iCs/>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25E4FB3"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47244857"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Artículo 4.</w:t>
      </w:r>
      <w:r w:rsidRPr="00833673">
        <w:rPr>
          <w:rFonts w:ascii="Palatino Linotype" w:hAnsi="Palatino Linotype"/>
          <w:i/>
          <w:iCs/>
          <w:sz w:val="22"/>
        </w:rPr>
        <w:t> </w:t>
      </w:r>
      <w:r w:rsidRPr="00833673">
        <w:rPr>
          <w:rFonts w:ascii="Palatino Linotype" w:hAnsi="Palatino Linotype"/>
          <w:b/>
          <w:bCs/>
          <w:i/>
          <w:iCs/>
          <w:sz w:val="22"/>
        </w:rPr>
        <w:t xml:space="preserve">El derecho humano de acceso a la información pública es la prerrogativa de las personas para buscar, difundir, investigar, recabar, recibir </w:t>
      </w:r>
      <w:r w:rsidRPr="00833673">
        <w:rPr>
          <w:rFonts w:ascii="Palatino Linotype" w:hAnsi="Palatino Linotype"/>
          <w:b/>
          <w:bCs/>
          <w:i/>
          <w:iCs/>
          <w:sz w:val="22"/>
        </w:rPr>
        <w:lastRenderedPageBreak/>
        <w:t>y solicitar información pública</w:t>
      </w:r>
      <w:r w:rsidRPr="00833673">
        <w:rPr>
          <w:rFonts w:ascii="Palatino Linotype" w:hAnsi="Palatino Linotype"/>
          <w:i/>
          <w:iCs/>
          <w:sz w:val="22"/>
        </w:rPr>
        <w:t>, sin necesidad de acreditar personalidad ni interés jurídico.</w:t>
      </w:r>
    </w:p>
    <w:p w14:paraId="55F801ED"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266ED683"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82B45"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7110BB13"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Los sujetos obligados deben poner en práctica, políticas y programas de acceso a la información que se apeguen a criterios de publicidad, veracidad, oportunidad, precisión y suficiencia en beneficio de los solicitantes.</w:t>
      </w:r>
    </w:p>
    <w:p w14:paraId="29E5ACE8"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6B27146C"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Artículo 11.-</w:t>
      </w:r>
      <w:r w:rsidRPr="00833673">
        <w:rPr>
          <w:rFonts w:ascii="Palatino Linotype" w:hAnsi="Palatino Linotype"/>
          <w:i/>
          <w:iCs/>
          <w:sz w:val="22"/>
        </w:rPr>
        <w:t> </w:t>
      </w:r>
      <w:r w:rsidRPr="00833673">
        <w:rPr>
          <w:rFonts w:ascii="Palatino Linotype" w:hAnsi="Palatino Linotype"/>
          <w:b/>
          <w:bCs/>
          <w:i/>
          <w:iCs/>
          <w:sz w:val="22"/>
        </w:rPr>
        <w:t>Los Sujetos Obligados sólo proporcionarán la información que generen en el ejercicio de sus atribuciones</w:t>
      </w:r>
      <w:r w:rsidRPr="00833673">
        <w:rPr>
          <w:rFonts w:ascii="Palatino Linotype" w:hAnsi="Palatino Linotype"/>
          <w:i/>
          <w:iCs/>
          <w:sz w:val="22"/>
        </w:rPr>
        <w:t>.</w:t>
      </w:r>
    </w:p>
    <w:p w14:paraId="554772C3"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310A82AD"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Artículo 12.</w:t>
      </w:r>
      <w:r w:rsidRPr="00833673">
        <w:rPr>
          <w:rFonts w:ascii="Palatino Linotype" w:hAnsi="Palatino Linotype"/>
          <w:i/>
          <w:iCs/>
          <w:sz w:val="22"/>
        </w:rPr>
        <w:t> Quienes generen, recopilen, administren, manejen, procesen, archiven o conserven información pública</w:t>
      </w:r>
      <w:r w:rsidRPr="00833673">
        <w:rPr>
          <w:rFonts w:ascii="Palatino Linotype" w:hAnsi="Palatino Linotype"/>
          <w:b/>
          <w:bCs/>
          <w:i/>
          <w:iCs/>
          <w:sz w:val="22"/>
        </w:rPr>
        <w:t> </w:t>
      </w:r>
      <w:r w:rsidRPr="00833673">
        <w:rPr>
          <w:rFonts w:ascii="Palatino Linotype" w:hAnsi="Palatino Linotype"/>
          <w:i/>
          <w:iCs/>
          <w:sz w:val="22"/>
        </w:rPr>
        <w:t>serán responsables de la misma en los términos de las disposiciones jurídicas aplicables.</w:t>
      </w:r>
    </w:p>
    <w:p w14:paraId="7B43E689"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76EFFEBE"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Los sujetos obligados sólo proporcionarán la información pública que se les requiera y que obre en sus archivos</w:t>
      </w:r>
      <w:r w:rsidRPr="00833673">
        <w:rPr>
          <w:rFonts w:ascii="Palatino Linotype" w:hAnsi="Palatino Linotype"/>
          <w:i/>
          <w:iCs/>
          <w:sz w:val="22"/>
        </w:rPr>
        <w:t>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CAB4B"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31144838"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t>Artículo 41.</w:t>
      </w:r>
      <w:r w:rsidRPr="00833673">
        <w:rPr>
          <w:rFonts w:ascii="Palatino Linotype" w:hAnsi="Palatino Linotype"/>
          <w:i/>
          <w:iCs/>
          <w:sz w:val="22"/>
        </w:rPr>
        <w:t> El Instituto promoverá la publicación de la información en datos abiertos y accesibles”</w:t>
      </w:r>
    </w:p>
    <w:p w14:paraId="72235C70"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519E3B8F"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sz w:val="22"/>
        </w:rPr>
        <w:t>(Énfasis añadido)</w:t>
      </w:r>
    </w:p>
    <w:p w14:paraId="3E5FB4FE" w14:textId="77777777" w:rsidR="00F231EA" w:rsidRPr="00833673" w:rsidRDefault="00F231EA" w:rsidP="00833673">
      <w:pPr>
        <w:spacing w:line="360" w:lineRule="auto"/>
        <w:ind w:left="709" w:right="757"/>
        <w:jc w:val="both"/>
        <w:rPr>
          <w:rFonts w:ascii="Palatino Linotype" w:hAnsi="Palatino Linotype"/>
        </w:rPr>
      </w:pPr>
      <w:r w:rsidRPr="00833673">
        <w:rPr>
          <w:rFonts w:ascii="Palatino Linotype" w:hAnsi="Palatino Linotype"/>
        </w:rPr>
        <w:t> </w:t>
      </w:r>
    </w:p>
    <w:p w14:paraId="78AF3828"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xml:space="preserve">De una interpretación sistemática de los artículos anteriores se puede deducir que el ejercicio del derecho de acceso a la información pública se centra en la potestad de los </w:t>
      </w:r>
      <w:r w:rsidRPr="00833673">
        <w:rPr>
          <w:rFonts w:ascii="Palatino Linotype" w:hAnsi="Palatino Linotype"/>
        </w:rPr>
        <w:lastRenderedPageBreak/>
        <w:t>particulares para conocer el contenido de los documentos que obren en los archivos de los Sujetos Obligados, ya sea porque los generen en el uso de sus atribuciones, los administren o simplemente los posean.</w:t>
      </w:r>
    </w:p>
    <w:p w14:paraId="750A4619"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263018C2"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E327EB4"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12338A06"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E42B85B"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40A77365"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xml:space="preserve">Aunado a lo anterior, el doctrinario Ernesto Villanueva </w:t>
      </w:r>
      <w:proofErr w:type="spellStart"/>
      <w:r w:rsidRPr="00833673">
        <w:rPr>
          <w:rFonts w:ascii="Palatino Linotype" w:hAnsi="Palatino Linotype"/>
        </w:rPr>
        <w:t>Villanueva</w:t>
      </w:r>
      <w:proofErr w:type="spellEnd"/>
      <w:r w:rsidRPr="00833673">
        <w:rPr>
          <w:rFonts w:ascii="Palatino Linotype" w:hAnsi="Palatino Linotype"/>
        </w:rPr>
        <w:t xml:space="preserve"> define al derecho de acceso a la información como:</w:t>
      </w:r>
    </w:p>
    <w:p w14:paraId="7302B897"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4A705CF6"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b/>
          <w:bCs/>
          <w:i/>
          <w:iCs/>
          <w:sz w:val="22"/>
        </w:rPr>
        <w:lastRenderedPageBreak/>
        <w:t>“</w:t>
      </w:r>
      <w:r w:rsidRPr="00833673">
        <w:rPr>
          <w:rFonts w:ascii="Palatino Linotype" w:hAnsi="Palatino Linotype"/>
          <w:i/>
          <w:iCs/>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33673">
        <w:rPr>
          <w:rFonts w:ascii="Palatino Linotype" w:hAnsi="Palatino Linotype"/>
          <w:b/>
          <w:bCs/>
          <w:i/>
          <w:iCs/>
          <w:sz w:val="22"/>
        </w:rPr>
        <w:t>”</w:t>
      </w:r>
      <w:r w:rsidRPr="00833673">
        <w:rPr>
          <w:rStyle w:val="m-6385855675290045626gmail-msofootnotereference"/>
          <w:rFonts w:ascii="Palatino Linotype" w:hAnsi="Palatino Linotype"/>
          <w:i/>
          <w:iCs/>
          <w:sz w:val="22"/>
        </w:rPr>
        <w:t> </w:t>
      </w:r>
      <w:r w:rsidRPr="00833673">
        <w:rPr>
          <w:rFonts w:ascii="Palatino Linotype" w:hAnsi="Palatino Linotype"/>
          <w:i/>
          <w:iCs/>
          <w:sz w:val="22"/>
        </w:rPr>
        <w:t>(Sic)</w:t>
      </w:r>
    </w:p>
    <w:p w14:paraId="53AB169E"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658F8FA7" w14:textId="3588AA65" w:rsidR="00F231EA" w:rsidRPr="00833673" w:rsidRDefault="00F231EA" w:rsidP="00833673">
      <w:pPr>
        <w:spacing w:line="360" w:lineRule="auto"/>
        <w:jc w:val="both"/>
        <w:rPr>
          <w:rFonts w:ascii="Palatino Linotype" w:hAnsi="Palatino Linotype"/>
        </w:rPr>
      </w:pPr>
      <w:r w:rsidRPr="00833673">
        <w:rPr>
          <w:rFonts w:ascii="Palatino Linotype" w:hAnsi="Palatino Linotype"/>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833673">
        <w:rPr>
          <w:rFonts w:ascii="Palatino Linotype" w:hAnsi="Palatino Linotype"/>
          <w:b/>
          <w:bCs/>
          <w:i/>
          <w:iCs/>
        </w:rPr>
        <w:t>ad hoc</w:t>
      </w:r>
      <w:r w:rsidRPr="00833673">
        <w:rPr>
          <w:rFonts w:ascii="Palatino Linotype" w:hAnsi="Palatino Linotype"/>
        </w:rPr>
        <w:t>, para satisfacer el derecho de acceso a la información pública.</w:t>
      </w:r>
    </w:p>
    <w:p w14:paraId="56FDBCBB" w14:textId="77777777" w:rsidR="00F231EA" w:rsidRPr="00833673" w:rsidRDefault="00F231EA" w:rsidP="00833673">
      <w:pPr>
        <w:spacing w:line="360" w:lineRule="auto"/>
        <w:jc w:val="both"/>
        <w:rPr>
          <w:rFonts w:ascii="Palatino Linotype" w:hAnsi="Palatino Linotype"/>
        </w:rPr>
      </w:pPr>
    </w:p>
    <w:p w14:paraId="4F86D4DB"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w:t>
      </w:r>
      <w:r w:rsidRPr="00833673">
        <w:rPr>
          <w:rFonts w:ascii="Palatino Linotype" w:hAnsi="Palatino Linotype"/>
          <w:b/>
          <w:bCs/>
        </w:rPr>
        <w:t>la solicitud de acceso a la información pública se encamina primordialmente a permitir el acceso a datos, registros y todo tipo de información pública que conste en documentos, sea generada o se encuentre en posesión de la autoridad.</w:t>
      </w:r>
    </w:p>
    <w:p w14:paraId="02A0B193"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69C909F9" w14:textId="3F93AEC0"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xml:space="preserve">Así las cosas, debe señalarse que tanto en la solicitud de información como en el recurso de revisión presentados en </w:t>
      </w:r>
      <w:r w:rsidRPr="00833673">
        <w:rPr>
          <w:rFonts w:ascii="Palatino Linotype" w:hAnsi="Palatino Linotype"/>
          <w:b/>
          <w:bCs/>
        </w:rPr>
        <w:t>EL SAIMEX</w:t>
      </w:r>
      <w:r w:rsidRPr="00833673">
        <w:rPr>
          <w:rFonts w:ascii="Palatino Linotype" w:hAnsi="Palatino Linotype"/>
        </w:rPr>
        <w:t xml:space="preserve">, </w:t>
      </w:r>
      <w:r w:rsidRPr="00833673">
        <w:rPr>
          <w:rFonts w:ascii="Palatino Linotype" w:hAnsi="Palatino Linotype"/>
          <w:b/>
          <w:bCs/>
        </w:rPr>
        <w:t xml:space="preserve">EL RECURRENTE </w:t>
      </w:r>
      <w:r w:rsidRPr="00833673">
        <w:rPr>
          <w:rFonts w:ascii="Palatino Linotype" w:hAnsi="Palatino Linotype"/>
        </w:rPr>
        <w:t xml:space="preserve">solicitó un pronunciamiento o declaración por parte del </w:t>
      </w:r>
      <w:r w:rsidRPr="00833673">
        <w:rPr>
          <w:rFonts w:ascii="Palatino Linotype" w:hAnsi="Palatino Linotype"/>
          <w:b/>
          <w:bCs/>
        </w:rPr>
        <w:t>SUJETO OBLIGADO</w:t>
      </w:r>
      <w:r w:rsidRPr="00833673">
        <w:rPr>
          <w:rFonts w:ascii="Palatino Linotype" w:hAnsi="Palatino Linotype"/>
        </w:rPr>
        <w:t xml:space="preserve"> mediante la realización de un cuestionamiento a fin de satisfacer una duda o inquietud, </w:t>
      </w:r>
      <w:r w:rsidRPr="00833673">
        <w:rPr>
          <w:rFonts w:ascii="Palatino Linotype" w:hAnsi="Palatino Linotype"/>
        </w:rPr>
        <w:lastRenderedPageBreak/>
        <w:t>entendiéndose por éste la definición de la Real Academia de la Lengua Española que dice:</w:t>
      </w:r>
    </w:p>
    <w:p w14:paraId="609090CA" w14:textId="77777777" w:rsidR="00F231EA" w:rsidRPr="00833673" w:rsidRDefault="00F231EA" w:rsidP="00833673">
      <w:pPr>
        <w:spacing w:line="360" w:lineRule="auto"/>
        <w:jc w:val="both"/>
        <w:rPr>
          <w:rFonts w:ascii="Palatino Linotype" w:hAnsi="Palatino Linotype"/>
        </w:rPr>
      </w:pPr>
      <w:r w:rsidRPr="00833673">
        <w:rPr>
          <w:rFonts w:ascii="Palatino Linotype" w:hAnsi="Palatino Linotype"/>
        </w:rPr>
        <w:t> </w:t>
      </w:r>
    </w:p>
    <w:p w14:paraId="250F857A"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w:t>
      </w:r>
      <w:r w:rsidRPr="00833673">
        <w:rPr>
          <w:rFonts w:ascii="Palatino Linotype" w:hAnsi="Palatino Linotype"/>
          <w:b/>
          <w:bCs/>
          <w:i/>
          <w:iCs/>
          <w:sz w:val="22"/>
        </w:rPr>
        <w:t>quién</w:t>
      </w:r>
    </w:p>
    <w:p w14:paraId="5F8068F8"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Del lat. </w:t>
      </w:r>
      <w:proofErr w:type="spellStart"/>
      <w:proofErr w:type="gramStart"/>
      <w:r w:rsidRPr="00833673">
        <w:rPr>
          <w:rFonts w:ascii="Palatino Linotype" w:hAnsi="Palatino Linotype"/>
          <w:i/>
          <w:iCs/>
          <w:sz w:val="22"/>
        </w:rPr>
        <w:t>quem</w:t>
      </w:r>
      <w:proofErr w:type="spellEnd"/>
      <w:proofErr w:type="gramEnd"/>
      <w:r w:rsidRPr="00833673">
        <w:rPr>
          <w:rFonts w:ascii="Palatino Linotype" w:hAnsi="Palatino Linotype"/>
          <w:i/>
          <w:iCs/>
          <w:sz w:val="22"/>
        </w:rPr>
        <w:t xml:space="preserve">, acus. de </w:t>
      </w:r>
      <w:proofErr w:type="spellStart"/>
      <w:r w:rsidRPr="00833673">
        <w:rPr>
          <w:rFonts w:ascii="Palatino Linotype" w:hAnsi="Palatino Linotype"/>
          <w:i/>
          <w:iCs/>
          <w:sz w:val="22"/>
        </w:rPr>
        <w:t>quis</w:t>
      </w:r>
      <w:proofErr w:type="spellEnd"/>
      <w:r w:rsidRPr="00833673">
        <w:rPr>
          <w:rFonts w:ascii="Palatino Linotype" w:hAnsi="Palatino Linotype"/>
          <w:i/>
          <w:iCs/>
          <w:sz w:val="22"/>
        </w:rPr>
        <w:t>.</w:t>
      </w:r>
    </w:p>
    <w:p w14:paraId="5C47CF27"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49E2FBEF"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1. </w:t>
      </w:r>
      <w:proofErr w:type="spellStart"/>
      <w:r w:rsidRPr="00833673">
        <w:rPr>
          <w:rFonts w:ascii="Palatino Linotype" w:hAnsi="Palatino Linotype"/>
          <w:i/>
          <w:iCs/>
          <w:sz w:val="22"/>
        </w:rPr>
        <w:t>pron</w:t>
      </w:r>
      <w:proofErr w:type="spellEnd"/>
      <w:r w:rsidRPr="00833673">
        <w:rPr>
          <w:rFonts w:ascii="Palatino Linotype" w:hAnsi="Palatino Linotype"/>
          <w:i/>
          <w:iCs/>
          <w:sz w:val="22"/>
        </w:rPr>
        <w:t xml:space="preserve">. </w:t>
      </w:r>
      <w:proofErr w:type="spellStart"/>
      <w:r w:rsidRPr="00833673">
        <w:rPr>
          <w:rFonts w:ascii="Palatino Linotype" w:hAnsi="Palatino Linotype"/>
          <w:i/>
          <w:iCs/>
          <w:sz w:val="22"/>
        </w:rPr>
        <w:t>interrog</w:t>
      </w:r>
      <w:proofErr w:type="spellEnd"/>
      <w:r w:rsidRPr="00833673">
        <w:rPr>
          <w:rFonts w:ascii="Palatino Linotype" w:hAnsi="Palatino Linotype"/>
          <w:i/>
          <w:iCs/>
          <w:sz w:val="22"/>
        </w:rPr>
        <w:t>. m. y f. </w:t>
      </w:r>
      <w:r w:rsidRPr="00833673">
        <w:rPr>
          <w:rFonts w:ascii="Palatino Linotype" w:hAnsi="Palatino Linotype"/>
          <w:b/>
          <w:bCs/>
          <w:i/>
          <w:iCs/>
          <w:sz w:val="22"/>
        </w:rPr>
        <w:t>Qué persona. </w:t>
      </w:r>
      <w:r w:rsidRPr="00833673">
        <w:rPr>
          <w:rFonts w:ascii="Palatino Linotype" w:hAnsi="Palatino Linotype"/>
          <w:i/>
          <w:iCs/>
          <w:sz w:val="22"/>
        </w:rPr>
        <w:t>¿A quién prefieres? Me pregunto quién hablaba.</w:t>
      </w:r>
    </w:p>
    <w:p w14:paraId="23E7E7D4"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12B567FD"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2. </w:t>
      </w:r>
      <w:proofErr w:type="spellStart"/>
      <w:r w:rsidRPr="00833673">
        <w:rPr>
          <w:rFonts w:ascii="Palatino Linotype" w:hAnsi="Palatino Linotype"/>
          <w:i/>
          <w:iCs/>
          <w:sz w:val="22"/>
        </w:rPr>
        <w:t>pron</w:t>
      </w:r>
      <w:proofErr w:type="spellEnd"/>
      <w:r w:rsidRPr="00833673">
        <w:rPr>
          <w:rFonts w:ascii="Palatino Linotype" w:hAnsi="Palatino Linotype"/>
          <w:i/>
          <w:iCs/>
          <w:sz w:val="22"/>
        </w:rPr>
        <w:t>. excl. m. y f. </w:t>
      </w:r>
      <w:r w:rsidRPr="00833673">
        <w:rPr>
          <w:rFonts w:ascii="Palatino Linotype" w:hAnsi="Palatino Linotype"/>
          <w:b/>
          <w:bCs/>
          <w:i/>
          <w:iCs/>
          <w:sz w:val="22"/>
        </w:rPr>
        <w:t>Qué person</w:t>
      </w:r>
      <w:r w:rsidRPr="00833673">
        <w:rPr>
          <w:rFonts w:ascii="Palatino Linotype" w:hAnsi="Palatino Linotype"/>
          <w:i/>
          <w:iCs/>
          <w:sz w:val="22"/>
        </w:rPr>
        <w:t>a. ¡A quién se le ocurre!</w:t>
      </w:r>
    </w:p>
    <w:p w14:paraId="546322AF"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7A36823D"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3. </w:t>
      </w:r>
      <w:proofErr w:type="spellStart"/>
      <w:r w:rsidRPr="00833673">
        <w:rPr>
          <w:rFonts w:ascii="Palatino Linotype" w:hAnsi="Palatino Linotype"/>
          <w:i/>
          <w:iCs/>
          <w:sz w:val="22"/>
        </w:rPr>
        <w:t>pron</w:t>
      </w:r>
      <w:proofErr w:type="spellEnd"/>
      <w:r w:rsidRPr="00833673">
        <w:rPr>
          <w:rFonts w:ascii="Palatino Linotype" w:hAnsi="Palatino Linotype"/>
          <w:i/>
          <w:iCs/>
          <w:sz w:val="22"/>
        </w:rPr>
        <w:t>. excl. m. y f. Introduce construcciones en las que se expresa vivo deseo de que algo ocurra o haya ocurrido. U. con imperfecto o pluscuamperfecto de subjuntivo. ¡Quién fuera millonario! ¡Quién hubiera estado allí!</w:t>
      </w:r>
    </w:p>
    <w:p w14:paraId="182F693B"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6DE4B4B4"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4. </w:t>
      </w:r>
      <w:proofErr w:type="spellStart"/>
      <w:r w:rsidRPr="00833673">
        <w:rPr>
          <w:rFonts w:ascii="Palatino Linotype" w:hAnsi="Palatino Linotype"/>
          <w:i/>
          <w:iCs/>
          <w:sz w:val="22"/>
        </w:rPr>
        <w:t>pron</w:t>
      </w:r>
      <w:proofErr w:type="spellEnd"/>
      <w:r w:rsidRPr="00833673">
        <w:rPr>
          <w:rFonts w:ascii="Palatino Linotype" w:hAnsi="Palatino Linotype"/>
          <w:i/>
          <w:iCs/>
          <w:sz w:val="22"/>
        </w:rPr>
        <w:t xml:space="preserve">. </w:t>
      </w:r>
      <w:proofErr w:type="spellStart"/>
      <w:r w:rsidRPr="00833673">
        <w:rPr>
          <w:rFonts w:ascii="Palatino Linotype" w:hAnsi="Palatino Linotype"/>
          <w:i/>
          <w:iCs/>
          <w:sz w:val="22"/>
        </w:rPr>
        <w:t>indef</w:t>
      </w:r>
      <w:proofErr w:type="spellEnd"/>
      <w:r w:rsidRPr="00833673">
        <w:rPr>
          <w:rFonts w:ascii="Palatino Linotype" w:hAnsi="Palatino Linotype"/>
          <w:i/>
          <w:iCs/>
          <w:sz w:val="22"/>
        </w:rPr>
        <w:t>. m. y f. En la construcción distributiva quién(es)… quién(es)…, equivale a uno(s)… otro(s)… Quién aconsejaba la retirada, quién morir peleando.</w:t>
      </w:r>
    </w:p>
    <w:p w14:paraId="79F54709"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51B328F7"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5. </w:t>
      </w:r>
      <w:proofErr w:type="spellStart"/>
      <w:r w:rsidRPr="00833673">
        <w:rPr>
          <w:rFonts w:ascii="Palatino Linotype" w:hAnsi="Palatino Linotype"/>
          <w:i/>
          <w:iCs/>
          <w:sz w:val="22"/>
        </w:rPr>
        <w:t>pron</w:t>
      </w:r>
      <w:proofErr w:type="spellEnd"/>
      <w:r w:rsidRPr="00833673">
        <w:rPr>
          <w:rFonts w:ascii="Palatino Linotype" w:hAnsi="Palatino Linotype"/>
          <w:i/>
          <w:iCs/>
          <w:sz w:val="22"/>
        </w:rPr>
        <w:t xml:space="preserve">. </w:t>
      </w:r>
      <w:proofErr w:type="spellStart"/>
      <w:r w:rsidRPr="00833673">
        <w:rPr>
          <w:rFonts w:ascii="Palatino Linotype" w:hAnsi="Palatino Linotype"/>
          <w:i/>
          <w:iCs/>
          <w:sz w:val="22"/>
        </w:rPr>
        <w:t>indef</w:t>
      </w:r>
      <w:proofErr w:type="spellEnd"/>
      <w:r w:rsidRPr="00833673">
        <w:rPr>
          <w:rFonts w:ascii="Palatino Linotype" w:hAnsi="Palatino Linotype"/>
          <w:i/>
          <w:iCs/>
          <w:sz w:val="22"/>
        </w:rPr>
        <w:t xml:space="preserve">. m. y f. Am. </w:t>
      </w:r>
      <w:proofErr w:type="spellStart"/>
      <w:r w:rsidRPr="00833673">
        <w:rPr>
          <w:rFonts w:ascii="Palatino Linotype" w:hAnsi="Palatino Linotype"/>
          <w:i/>
          <w:iCs/>
          <w:sz w:val="22"/>
        </w:rPr>
        <w:t>Cen</w:t>
      </w:r>
      <w:proofErr w:type="spellEnd"/>
      <w:r w:rsidRPr="00833673">
        <w:rPr>
          <w:rFonts w:ascii="Palatino Linotype" w:hAnsi="Palatino Linotype"/>
          <w:i/>
          <w:iCs/>
          <w:sz w:val="22"/>
        </w:rPr>
        <w:t xml:space="preserve">. y </w:t>
      </w:r>
      <w:proofErr w:type="spellStart"/>
      <w:r w:rsidRPr="00833673">
        <w:rPr>
          <w:rFonts w:ascii="Palatino Linotype" w:hAnsi="Palatino Linotype"/>
          <w:i/>
          <w:iCs/>
          <w:sz w:val="22"/>
        </w:rPr>
        <w:t>Méx</w:t>
      </w:r>
      <w:proofErr w:type="spellEnd"/>
      <w:r w:rsidRPr="00833673">
        <w:rPr>
          <w:rFonts w:ascii="Palatino Linotype" w:hAnsi="Palatino Linotype"/>
          <w:i/>
          <w:iCs/>
          <w:sz w:val="22"/>
        </w:rPr>
        <w:t>. Alguien, nadie. Nos dejaba sin quién en el mundo.</w:t>
      </w:r>
    </w:p>
    <w:p w14:paraId="61377FF1"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w:t>
      </w:r>
    </w:p>
    <w:p w14:paraId="09C21312" w14:textId="77777777"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no ser alguien quién</w:t>
      </w:r>
    </w:p>
    <w:p w14:paraId="1BE08ED4" w14:textId="756249A4" w:rsidR="00F231EA" w:rsidRPr="00833673" w:rsidRDefault="00F231EA" w:rsidP="00833673">
      <w:pPr>
        <w:ind w:left="709" w:right="757"/>
        <w:jc w:val="both"/>
        <w:rPr>
          <w:rFonts w:ascii="Palatino Linotype" w:hAnsi="Palatino Linotype"/>
          <w:sz w:val="22"/>
        </w:rPr>
      </w:pPr>
      <w:r w:rsidRPr="00833673">
        <w:rPr>
          <w:rFonts w:ascii="Palatino Linotype" w:hAnsi="Palatino Linotype"/>
          <w:i/>
          <w:iCs/>
          <w:sz w:val="22"/>
        </w:rPr>
        <w:t xml:space="preserve">1. loc. </w:t>
      </w:r>
      <w:proofErr w:type="spellStart"/>
      <w:r w:rsidRPr="00833673">
        <w:rPr>
          <w:rFonts w:ascii="Palatino Linotype" w:hAnsi="Palatino Linotype"/>
          <w:i/>
          <w:iCs/>
          <w:sz w:val="22"/>
        </w:rPr>
        <w:t>verb</w:t>
      </w:r>
      <w:proofErr w:type="spellEnd"/>
      <w:r w:rsidRPr="00833673">
        <w:rPr>
          <w:rFonts w:ascii="Palatino Linotype" w:hAnsi="Palatino Linotype"/>
          <w:i/>
          <w:iCs/>
          <w:sz w:val="22"/>
        </w:rPr>
        <w:t>. Carecer de la capacidad o habilidad para hacer algo. No soy quién para resolver este asunto.”</w:t>
      </w:r>
    </w:p>
    <w:p w14:paraId="10D41AC8" w14:textId="77777777" w:rsidR="00F231EA" w:rsidRPr="00833673" w:rsidRDefault="00F231EA" w:rsidP="00833673">
      <w:pPr>
        <w:spacing w:line="360" w:lineRule="auto"/>
        <w:ind w:left="709" w:right="757"/>
        <w:jc w:val="both"/>
        <w:rPr>
          <w:rFonts w:ascii="Palatino Linotype" w:hAnsi="Palatino Linotype"/>
        </w:rPr>
      </w:pPr>
      <w:r w:rsidRPr="00833673">
        <w:rPr>
          <w:rFonts w:ascii="Palatino Linotype" w:hAnsi="Palatino Linotype"/>
          <w:i/>
          <w:iCs/>
        </w:rPr>
        <w:t> </w:t>
      </w:r>
    </w:p>
    <w:p w14:paraId="3414343D" w14:textId="037F062D" w:rsidR="00F231EA" w:rsidRPr="00833673" w:rsidRDefault="00F231EA" w:rsidP="00833673">
      <w:pPr>
        <w:spacing w:line="360" w:lineRule="auto"/>
        <w:jc w:val="both"/>
        <w:rPr>
          <w:rFonts w:ascii="Palatino Linotype" w:hAnsi="Palatino Linotype"/>
        </w:rPr>
      </w:pPr>
      <w:r w:rsidRPr="00833673">
        <w:rPr>
          <w:rFonts w:ascii="Palatino Linotype" w:hAnsi="Palatino Linotype"/>
        </w:rPr>
        <w:t>Por lo que, la entrega de una respuesta a cuestionamientos por parte del </w:t>
      </w:r>
      <w:r w:rsidRPr="00833673">
        <w:rPr>
          <w:rFonts w:ascii="Palatino Linotype" w:hAnsi="Palatino Linotype"/>
          <w:b/>
          <w:bCs/>
        </w:rPr>
        <w:t>SUJETO OBLIGADO</w:t>
      </w:r>
      <w:r w:rsidRPr="00833673">
        <w:rPr>
          <w:rFonts w:ascii="Palatino Linotype" w:hAnsi="Palatino Linotype"/>
        </w:rPr>
        <w:t> no es algo que la ley establezca como atribución, derecho, o facultad; pues ello implicaría un juicio de valor referente a una interrogante realizada, los cuales, al constituir inquietudes y manifestaciones se satisfacen vía derecho de petición, pues se insiste, se trataría de un procesamiento de la información o pronunciamiento por parte del </w:t>
      </w:r>
      <w:r w:rsidRPr="00833673">
        <w:rPr>
          <w:rFonts w:ascii="Palatino Linotype" w:hAnsi="Palatino Linotype"/>
          <w:b/>
          <w:bCs/>
        </w:rPr>
        <w:t>SUJETO OBLIGADO</w:t>
      </w:r>
      <w:r w:rsidRPr="00833673">
        <w:rPr>
          <w:rFonts w:ascii="Palatino Linotype" w:hAnsi="Palatino Linotype"/>
        </w:rPr>
        <w:t> para satisfacer la inquietud del ciudadano</w:t>
      </w:r>
      <w:r w:rsidR="00833673" w:rsidRPr="00833673">
        <w:rPr>
          <w:rFonts w:ascii="Palatino Linotype" w:hAnsi="Palatino Linotype"/>
        </w:rPr>
        <w:t>.</w:t>
      </w:r>
    </w:p>
    <w:p w14:paraId="734E7441" w14:textId="77777777" w:rsidR="00F231EA" w:rsidRPr="00833673" w:rsidRDefault="00F231EA" w:rsidP="00833673">
      <w:pPr>
        <w:spacing w:line="360" w:lineRule="auto"/>
        <w:jc w:val="both"/>
        <w:rPr>
          <w:rFonts w:ascii="Palatino Linotype" w:hAnsi="Palatino Linotype" w:cs="Arial"/>
        </w:rPr>
      </w:pPr>
    </w:p>
    <w:p w14:paraId="3F2060CB" w14:textId="53887BDA" w:rsidR="004C0749" w:rsidRPr="00833673" w:rsidRDefault="004C0749" w:rsidP="00833673">
      <w:pPr>
        <w:spacing w:line="360" w:lineRule="auto"/>
        <w:jc w:val="both"/>
        <w:rPr>
          <w:rFonts w:ascii="Palatino Linotype" w:hAnsi="Palatino Linotype" w:cs="Arial"/>
          <w:b/>
        </w:rPr>
      </w:pPr>
      <w:r w:rsidRPr="00833673">
        <w:rPr>
          <w:rFonts w:ascii="Palatino Linotype" w:hAnsi="Palatino Linotype"/>
        </w:rPr>
        <w:lastRenderedPageBreak/>
        <w:t>En ese contexto</w:t>
      </w:r>
      <w:r w:rsidRPr="00833673">
        <w:rPr>
          <w:rFonts w:ascii="Palatino Linotype" w:hAnsi="Palatino Linotype" w:cs="Arial"/>
        </w:rPr>
        <w:t xml:space="preserve">, la que suscribe, emite </w:t>
      </w:r>
      <w:r w:rsidRPr="00833673">
        <w:rPr>
          <w:rFonts w:ascii="Palatino Linotype" w:hAnsi="Palatino Linotype" w:cs="Arial"/>
          <w:b/>
        </w:rPr>
        <w:t>VOTO PARTICULAR</w:t>
      </w:r>
      <w:r w:rsidRPr="00833673">
        <w:rPr>
          <w:rFonts w:ascii="Palatino Linotype" w:hAnsi="Palatino Linotype" w:cs="Arial"/>
        </w:rPr>
        <w:t xml:space="preserve">, pues se insiste que </w:t>
      </w:r>
      <w:r w:rsidR="00EB5E72" w:rsidRPr="00833673">
        <w:rPr>
          <w:rFonts w:ascii="Palatino Linotype" w:hAnsi="Palatino Linotype" w:cs="Arial"/>
        </w:rPr>
        <w:t xml:space="preserve">no se debió ordenar </w:t>
      </w:r>
      <w:r w:rsidR="00B74BD0" w:rsidRPr="00833673">
        <w:rPr>
          <w:rFonts w:ascii="Palatino Linotype" w:hAnsi="Palatino Linotype" w:cs="Arial"/>
        </w:rPr>
        <w:t>la información en términos de</w:t>
      </w:r>
      <w:r w:rsidR="00833673">
        <w:rPr>
          <w:rFonts w:ascii="Palatino Linotype" w:hAnsi="Palatino Linotype" w:cs="Arial"/>
        </w:rPr>
        <w:t>l resolutivo SEGUNDO</w:t>
      </w:r>
      <w:r w:rsidR="00B74BD0" w:rsidRPr="00833673">
        <w:rPr>
          <w:rFonts w:ascii="Palatino Linotype" w:hAnsi="Palatino Linotype" w:cs="Arial"/>
        </w:rPr>
        <w:t xml:space="preserve">, pues esto implicaría </w:t>
      </w:r>
      <w:r w:rsidR="00833673">
        <w:rPr>
          <w:rFonts w:ascii="Palatino Linotype" w:hAnsi="Palatino Linotype" w:cs="Arial"/>
        </w:rPr>
        <w:t xml:space="preserve">al </w:t>
      </w:r>
      <w:r w:rsidR="00833673">
        <w:rPr>
          <w:rFonts w:ascii="Palatino Linotype" w:hAnsi="Palatino Linotype" w:cs="Arial"/>
          <w:b/>
        </w:rPr>
        <w:t xml:space="preserve">SUJETO OBLIGADO </w:t>
      </w:r>
      <w:r w:rsidR="00B74BD0" w:rsidRPr="00833673">
        <w:rPr>
          <w:rFonts w:ascii="Palatino Linotype" w:hAnsi="Palatino Linotype" w:cs="Arial"/>
        </w:rPr>
        <w:t>generar un documento ad h</w:t>
      </w:r>
      <w:r w:rsidR="00FE7785">
        <w:rPr>
          <w:rFonts w:ascii="Palatino Linotype" w:hAnsi="Palatino Linotype" w:cs="Arial"/>
        </w:rPr>
        <w:t>0</w:t>
      </w:r>
      <w:r w:rsidR="00B74BD0" w:rsidRPr="00833673">
        <w:rPr>
          <w:rFonts w:ascii="Palatino Linotype" w:hAnsi="Palatino Linotype" w:cs="Arial"/>
        </w:rPr>
        <w:t xml:space="preserve">c, cuando la normatividad únicamente </w:t>
      </w:r>
      <w:r w:rsidR="00E2558A" w:rsidRPr="00833673">
        <w:rPr>
          <w:rFonts w:ascii="Palatino Linotype" w:hAnsi="Palatino Linotype" w:cs="Arial"/>
        </w:rPr>
        <w:t>constriñe</w:t>
      </w:r>
      <w:r w:rsidR="00B74BD0" w:rsidRPr="00833673">
        <w:rPr>
          <w:rFonts w:ascii="Palatino Linotype" w:hAnsi="Palatino Linotype" w:cs="Arial"/>
        </w:rPr>
        <w:t xml:space="preserve"> a la autoridad a hacer entrega de la información pública tal y como la genere y conste en sus archivos</w:t>
      </w:r>
      <w:r w:rsidR="00833673">
        <w:rPr>
          <w:rFonts w:ascii="Palatino Linotype" w:hAnsi="Palatino Linotype" w:cs="Arial"/>
        </w:rPr>
        <w:t xml:space="preserve"> en términos del artículo 18 de la </w:t>
      </w:r>
      <w:r w:rsidR="00833673" w:rsidRPr="00833673">
        <w:rPr>
          <w:rFonts w:ascii="Palatino Linotype" w:hAnsi="Palatino Linotype" w:cs="Arial"/>
        </w:rPr>
        <w:t>Ley de Transparencia y Acceso a</w:t>
      </w:r>
      <w:r w:rsidR="00833673">
        <w:rPr>
          <w:rFonts w:ascii="Palatino Linotype" w:hAnsi="Palatino Linotype" w:cs="Arial"/>
        </w:rPr>
        <w:t xml:space="preserve"> </w:t>
      </w:r>
      <w:r w:rsidR="00833673" w:rsidRPr="00833673">
        <w:rPr>
          <w:rFonts w:ascii="Palatino Linotype" w:hAnsi="Palatino Linotype" w:cs="Arial"/>
        </w:rPr>
        <w:t>la Información Pública del Estado</w:t>
      </w:r>
      <w:r w:rsidR="00833673">
        <w:rPr>
          <w:rFonts w:ascii="Palatino Linotype" w:hAnsi="Palatino Linotype" w:cs="Arial"/>
        </w:rPr>
        <w:t xml:space="preserve"> </w:t>
      </w:r>
      <w:r w:rsidR="00833673" w:rsidRPr="00833673">
        <w:rPr>
          <w:rFonts w:ascii="Palatino Linotype" w:hAnsi="Palatino Linotype" w:cs="Arial"/>
        </w:rPr>
        <w:t>de México y Municipios</w:t>
      </w:r>
      <w:r w:rsidR="00833673">
        <w:rPr>
          <w:rFonts w:ascii="Palatino Linotype" w:hAnsi="Palatino Linotype" w:cs="Arial"/>
        </w:rPr>
        <w:t xml:space="preserve"> y 143 de la </w:t>
      </w:r>
      <w:r w:rsidR="00833673" w:rsidRPr="00833673">
        <w:rPr>
          <w:rFonts w:ascii="Palatino Linotype" w:hAnsi="Palatino Linotype" w:cs="Arial"/>
        </w:rPr>
        <w:t>Constitución Política del Estado Libre y Soberano de México</w:t>
      </w:r>
      <w:r w:rsidR="00833673">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833673" w:rsidRPr="00833673" w14:paraId="3FEB39FF" w14:textId="77777777" w:rsidTr="004C0749">
        <w:trPr>
          <w:jc w:val="center"/>
        </w:trPr>
        <w:tc>
          <w:tcPr>
            <w:tcW w:w="4393" w:type="dxa"/>
          </w:tcPr>
          <w:p w14:paraId="582E334C" w14:textId="77777777" w:rsidR="004C0749" w:rsidRPr="00833673" w:rsidRDefault="004C0749" w:rsidP="00833673">
            <w:pPr>
              <w:spacing w:line="360" w:lineRule="auto"/>
              <w:jc w:val="center"/>
              <w:rPr>
                <w:rFonts w:ascii="Palatino Linotype" w:hAnsi="Palatino Linotype"/>
                <w:b/>
              </w:rPr>
            </w:pPr>
          </w:p>
          <w:p w14:paraId="7F72C57E" w14:textId="77777777" w:rsidR="004C0749" w:rsidRPr="00833673" w:rsidRDefault="004C0749" w:rsidP="00833673">
            <w:pPr>
              <w:spacing w:line="360" w:lineRule="auto"/>
              <w:jc w:val="center"/>
              <w:rPr>
                <w:rFonts w:ascii="Palatino Linotype" w:hAnsi="Palatino Linotype"/>
                <w:b/>
              </w:rPr>
            </w:pPr>
          </w:p>
          <w:p w14:paraId="6C6AD0A1" w14:textId="77777777" w:rsidR="00E2558A" w:rsidRPr="00833673" w:rsidRDefault="00E2558A" w:rsidP="00833673">
            <w:pPr>
              <w:spacing w:line="360" w:lineRule="auto"/>
              <w:jc w:val="center"/>
              <w:rPr>
                <w:rFonts w:ascii="Palatino Linotype" w:hAnsi="Palatino Linotype"/>
                <w:b/>
              </w:rPr>
            </w:pPr>
          </w:p>
          <w:p w14:paraId="58D28F6C" w14:textId="77777777" w:rsidR="00E2558A" w:rsidRPr="00833673" w:rsidRDefault="00E2558A" w:rsidP="00833673">
            <w:pPr>
              <w:spacing w:line="360" w:lineRule="auto"/>
              <w:jc w:val="center"/>
              <w:rPr>
                <w:rFonts w:ascii="Palatino Linotype" w:hAnsi="Palatino Linotype"/>
                <w:b/>
              </w:rPr>
            </w:pPr>
          </w:p>
          <w:p w14:paraId="094D50B9" w14:textId="77777777" w:rsidR="00F231EA" w:rsidRDefault="00F231EA" w:rsidP="00833673">
            <w:pPr>
              <w:spacing w:line="360" w:lineRule="auto"/>
              <w:jc w:val="center"/>
              <w:rPr>
                <w:rFonts w:ascii="Palatino Linotype" w:hAnsi="Palatino Linotype"/>
                <w:b/>
              </w:rPr>
            </w:pPr>
          </w:p>
          <w:p w14:paraId="36548EB3" w14:textId="77777777" w:rsidR="005E1FEB" w:rsidRDefault="005E1FEB" w:rsidP="00833673">
            <w:pPr>
              <w:spacing w:line="360" w:lineRule="auto"/>
              <w:jc w:val="center"/>
              <w:rPr>
                <w:rFonts w:ascii="Palatino Linotype" w:hAnsi="Palatino Linotype"/>
                <w:b/>
              </w:rPr>
            </w:pPr>
          </w:p>
          <w:p w14:paraId="710F7FA3" w14:textId="77777777" w:rsidR="004C0749" w:rsidRPr="00833673" w:rsidRDefault="004C0749" w:rsidP="00833673">
            <w:pPr>
              <w:jc w:val="center"/>
              <w:rPr>
                <w:rFonts w:ascii="Palatino Linotype" w:hAnsi="Palatino Linotype"/>
                <w:b/>
              </w:rPr>
            </w:pPr>
            <w:bookmarkStart w:id="0" w:name="_GoBack"/>
            <w:bookmarkEnd w:id="0"/>
            <w:r w:rsidRPr="00833673">
              <w:rPr>
                <w:rFonts w:ascii="Palatino Linotype" w:hAnsi="Palatino Linotype"/>
                <w:b/>
              </w:rPr>
              <w:t xml:space="preserve">EVA ABAID YAPUR </w:t>
            </w:r>
          </w:p>
          <w:p w14:paraId="0C04CEDC" w14:textId="77777777" w:rsidR="004C0749" w:rsidRDefault="004C0749" w:rsidP="005E1FEB">
            <w:pPr>
              <w:jc w:val="center"/>
              <w:rPr>
                <w:rFonts w:ascii="Palatino Linotype" w:hAnsi="Palatino Linotype"/>
                <w:b/>
              </w:rPr>
            </w:pPr>
            <w:r w:rsidRPr="00833673">
              <w:rPr>
                <w:rFonts w:ascii="Palatino Linotype" w:hAnsi="Palatino Linotype"/>
                <w:b/>
              </w:rPr>
              <w:t>COMISIONADA</w:t>
            </w:r>
          </w:p>
          <w:p w14:paraId="46BF9CB2" w14:textId="2465497C" w:rsidR="00640C6D" w:rsidRPr="00833673" w:rsidRDefault="00640C6D" w:rsidP="005E1FEB">
            <w:pPr>
              <w:jc w:val="center"/>
              <w:rPr>
                <w:rFonts w:ascii="Palatino Linotype" w:hAnsi="Palatino Linotype"/>
                <w:b/>
              </w:rPr>
            </w:pPr>
            <w:r>
              <w:rPr>
                <w:rFonts w:ascii="Palatino Linotype" w:hAnsi="Palatino Linotype" w:cs="Arial"/>
                <w:b/>
              </w:rPr>
              <w:t>(RÚBRICA)</w:t>
            </w:r>
          </w:p>
        </w:tc>
      </w:tr>
    </w:tbl>
    <w:p w14:paraId="3E1CC39A" w14:textId="77777777" w:rsidR="004C0749" w:rsidRPr="00833673" w:rsidRDefault="004C0749" w:rsidP="00833673">
      <w:pPr>
        <w:spacing w:line="360" w:lineRule="auto"/>
        <w:jc w:val="both"/>
        <w:rPr>
          <w:rFonts w:ascii="Palatino Linotype" w:eastAsia="Calibri" w:hAnsi="Palatino Linotype" w:cs="Arial"/>
        </w:rPr>
      </w:pPr>
    </w:p>
    <w:p w14:paraId="7088CE39" w14:textId="1DAB887F" w:rsidR="004C0749" w:rsidRPr="00833673" w:rsidRDefault="004C0749" w:rsidP="00833673">
      <w:pPr>
        <w:spacing w:line="360" w:lineRule="auto"/>
        <w:jc w:val="both"/>
        <w:rPr>
          <w:rFonts w:ascii="Palatino Linotype" w:eastAsia="Calibri" w:hAnsi="Palatino Linotype" w:cs="Arial"/>
        </w:rPr>
      </w:pPr>
    </w:p>
    <w:p w14:paraId="024CE75A" w14:textId="77777777" w:rsidR="00A16E80" w:rsidRPr="00833673" w:rsidRDefault="00A16E80" w:rsidP="00833673">
      <w:pPr>
        <w:spacing w:line="360" w:lineRule="auto"/>
        <w:jc w:val="both"/>
        <w:rPr>
          <w:rFonts w:ascii="Palatino Linotype" w:eastAsia="Calibri" w:hAnsi="Palatino Linotype" w:cs="Arial"/>
        </w:rPr>
      </w:pPr>
    </w:p>
    <w:p w14:paraId="18633AD6" w14:textId="77777777" w:rsidR="00F2312E" w:rsidRPr="00833673" w:rsidRDefault="00F2312E" w:rsidP="00833673">
      <w:pPr>
        <w:spacing w:line="360" w:lineRule="auto"/>
        <w:jc w:val="both"/>
        <w:rPr>
          <w:rFonts w:ascii="Palatino Linotype" w:eastAsia="Calibri" w:hAnsi="Palatino Linotype" w:cs="Arial"/>
        </w:rPr>
      </w:pPr>
    </w:p>
    <w:p w14:paraId="26A62D44" w14:textId="77777777" w:rsidR="00E2558A" w:rsidRPr="00833673" w:rsidRDefault="00E2558A" w:rsidP="00833673">
      <w:pPr>
        <w:spacing w:line="360" w:lineRule="auto"/>
        <w:jc w:val="both"/>
        <w:rPr>
          <w:rFonts w:ascii="Palatino Linotype" w:eastAsia="Calibri" w:hAnsi="Palatino Linotype" w:cs="Arial"/>
        </w:rPr>
      </w:pPr>
    </w:p>
    <w:p w14:paraId="06C0B0B1" w14:textId="762AF129" w:rsidR="004C0749" w:rsidRPr="00C16FB8" w:rsidRDefault="004C0749" w:rsidP="00833673">
      <w:pPr>
        <w:jc w:val="both"/>
        <w:rPr>
          <w:rFonts w:ascii="Palatino Linotype" w:eastAsia="Calibri" w:hAnsi="Palatino Linotype" w:cs="Arial"/>
          <w:sz w:val="20"/>
        </w:rPr>
      </w:pPr>
      <w:r w:rsidRPr="00C16FB8">
        <w:rPr>
          <w:rFonts w:ascii="Palatino Linotype" w:eastAsia="Calibri" w:hAnsi="Palatino Linotype" w:cs="Arial"/>
          <w:sz w:val="20"/>
        </w:rPr>
        <w:t xml:space="preserve">Esta hoja corresponde al voto particular emitido en </w:t>
      </w:r>
      <w:r w:rsidR="00833673" w:rsidRPr="00C16FB8">
        <w:rPr>
          <w:rFonts w:ascii="Palatino Linotype" w:eastAsia="Calibri" w:hAnsi="Palatino Linotype" w:cs="Arial"/>
          <w:sz w:val="20"/>
        </w:rPr>
        <w:t xml:space="preserve">la resolución del </w:t>
      </w:r>
      <w:r w:rsidRPr="00C16FB8">
        <w:rPr>
          <w:rFonts w:ascii="Palatino Linotype" w:eastAsia="Calibri" w:hAnsi="Palatino Linotype" w:cs="Arial"/>
          <w:sz w:val="20"/>
        </w:rPr>
        <w:t>recurso de revisión 0</w:t>
      </w:r>
      <w:r w:rsidR="00F231EA" w:rsidRPr="00C16FB8">
        <w:rPr>
          <w:rFonts w:ascii="Palatino Linotype" w:eastAsia="Calibri" w:hAnsi="Palatino Linotype" w:cs="Arial"/>
          <w:sz w:val="20"/>
        </w:rPr>
        <w:t>2188</w:t>
      </w:r>
      <w:r w:rsidR="00130433" w:rsidRPr="00C16FB8">
        <w:rPr>
          <w:rFonts w:ascii="Palatino Linotype" w:eastAsia="Calibri" w:hAnsi="Palatino Linotype" w:cs="Arial"/>
          <w:sz w:val="20"/>
        </w:rPr>
        <w:t>/INFOEM/IP/RR/201</w:t>
      </w:r>
      <w:r w:rsidR="00F231EA" w:rsidRPr="00C16FB8">
        <w:rPr>
          <w:rFonts w:ascii="Palatino Linotype" w:eastAsia="Calibri" w:hAnsi="Palatino Linotype" w:cs="Arial"/>
          <w:sz w:val="20"/>
        </w:rPr>
        <w:t>8</w:t>
      </w:r>
      <w:r w:rsidRPr="00C16FB8">
        <w:rPr>
          <w:rFonts w:ascii="Palatino Linotype" w:eastAsia="Calibri" w:hAnsi="Palatino Linotype" w:cs="Arial"/>
          <w:sz w:val="20"/>
        </w:rPr>
        <w:t>, aprobad</w:t>
      </w:r>
      <w:r w:rsidR="00833673" w:rsidRPr="00C16FB8">
        <w:rPr>
          <w:rFonts w:ascii="Palatino Linotype" w:eastAsia="Calibri" w:hAnsi="Palatino Linotype" w:cs="Arial"/>
          <w:sz w:val="20"/>
        </w:rPr>
        <w:t>a</w:t>
      </w:r>
      <w:r w:rsidRPr="00C16FB8">
        <w:rPr>
          <w:rFonts w:ascii="Palatino Linotype" w:eastAsia="Calibri" w:hAnsi="Palatino Linotype" w:cs="Arial"/>
          <w:sz w:val="20"/>
        </w:rPr>
        <w:t xml:space="preserve"> el </w:t>
      </w:r>
      <w:r w:rsidR="00F231EA" w:rsidRPr="00C16FB8">
        <w:rPr>
          <w:rFonts w:ascii="Palatino Linotype" w:eastAsia="Calibri" w:hAnsi="Palatino Linotype" w:cs="Arial"/>
          <w:sz w:val="20"/>
        </w:rPr>
        <w:t>quince de agosto de dos mil dieciocho.</w:t>
      </w:r>
    </w:p>
    <w:p w14:paraId="64CEBF82" w14:textId="77777777" w:rsidR="005E1FEB" w:rsidRPr="00C16FB8" w:rsidRDefault="005E1FEB" w:rsidP="00833673">
      <w:pPr>
        <w:jc w:val="both"/>
        <w:rPr>
          <w:rFonts w:ascii="Palatino Linotype" w:eastAsia="Calibri" w:hAnsi="Palatino Linotype" w:cs="Arial"/>
          <w:sz w:val="2"/>
        </w:rPr>
      </w:pPr>
    </w:p>
    <w:p w14:paraId="2390E1F1" w14:textId="479A6003" w:rsidR="009D63A9" w:rsidRPr="00C16FB8" w:rsidRDefault="004C0749" w:rsidP="00833673">
      <w:pPr>
        <w:jc w:val="both"/>
        <w:rPr>
          <w:rFonts w:ascii="Palatino Linotype" w:eastAsia="Calibri" w:hAnsi="Palatino Linotype"/>
          <w:sz w:val="20"/>
        </w:rPr>
      </w:pPr>
      <w:r w:rsidRPr="00C16FB8">
        <w:rPr>
          <w:rFonts w:ascii="Palatino Linotype" w:eastAsia="Calibri" w:hAnsi="Palatino Linotype" w:cs="Arial"/>
          <w:sz w:val="20"/>
        </w:rPr>
        <w:t>YSM/ATU</w:t>
      </w:r>
    </w:p>
    <w:sectPr w:rsidR="009D63A9" w:rsidRPr="00C16FB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E823" w14:textId="77777777" w:rsidR="00BA17D4" w:rsidRDefault="00BA17D4" w:rsidP="00C80F8C">
      <w:r>
        <w:separator/>
      </w:r>
    </w:p>
  </w:endnote>
  <w:endnote w:type="continuationSeparator" w:id="0">
    <w:p w14:paraId="2A681217" w14:textId="77777777" w:rsidR="00BA17D4" w:rsidRDefault="00BA17D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0C6D">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0C6D">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742D3" w14:textId="77777777" w:rsidR="00BA17D4" w:rsidRDefault="00BA17D4" w:rsidP="00C80F8C">
      <w:r>
        <w:separator/>
      </w:r>
    </w:p>
  </w:footnote>
  <w:footnote w:type="continuationSeparator" w:id="0">
    <w:p w14:paraId="5A407494" w14:textId="77777777" w:rsidR="00BA17D4" w:rsidRDefault="00BA17D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A17D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922" o:spid="_x0000_s2050" type="#_x0000_t136" style="position:absolute;margin-left:0;margin-top:0;width:559.05pt;height:83.8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D4B7742"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E8AE5CA">
          <wp:simplePos x="0" y="0"/>
          <wp:positionH relativeFrom="column">
            <wp:posOffset>-698500</wp:posOffset>
          </wp:positionH>
          <wp:positionV relativeFrom="paragraph">
            <wp:posOffset>-357505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307942D4" w:rsidR="00634485"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954D7" w:rsidRPr="003954D7">
      <w:rPr>
        <w:rFonts w:ascii="Palatino Linotype" w:hAnsi="Palatino Linotype" w:cs="Arial"/>
        <w:sz w:val="20"/>
        <w:szCs w:val="20"/>
      </w:rPr>
      <w:t>02188/INFOEM/IP/RR/2018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332B07A7" w:rsidR="0030072F" w:rsidRDefault="00BA17D4"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923" o:spid="_x0000_s2051" type="#_x0000_t136" style="position:absolute;left:0;text-align:left;margin-left:0;margin-top:0;width:559.05pt;height:74.8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A17D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921" o:spid="_x0000_s2049" type="#_x0000_t136" style="position:absolute;margin-left:0;margin-top:0;width:559.05pt;height:83.8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F11927"/>
    <w:multiLevelType w:val="hybridMultilevel"/>
    <w:tmpl w:val="611619F4"/>
    <w:lvl w:ilvl="0" w:tplc="6DA2742E">
      <w:start w:val="2"/>
      <w:numFmt w:val="decimal"/>
      <w:lvlText w:val="%1."/>
      <w:lvlJc w:val="left"/>
      <w:pPr>
        <w:ind w:left="30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5EF52D92"/>
    <w:multiLevelType w:val="multilevel"/>
    <w:tmpl w:val="E51E47E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408413F"/>
    <w:multiLevelType w:val="hybridMultilevel"/>
    <w:tmpl w:val="0B200804"/>
    <w:lvl w:ilvl="0" w:tplc="3176C992">
      <w:start w:val="1"/>
      <w:numFmt w:val="lowerLetter"/>
      <w:lvlText w:val="%1)"/>
      <w:lvlJc w:val="left"/>
      <w:pPr>
        <w:ind w:left="1068" w:hanging="360"/>
      </w:pPr>
      <w:rPr>
        <w:rFonts w:hint="default"/>
      </w:rPr>
    </w:lvl>
    <w:lvl w:ilvl="1" w:tplc="CB40FAE6">
      <w:start w:val="1"/>
      <w:numFmt w:val="upperRoman"/>
      <w:lvlText w:val="%2."/>
      <w:lvlJc w:val="left"/>
      <w:pPr>
        <w:ind w:left="1788" w:hanging="360"/>
      </w:pPr>
      <w:rPr>
        <w:rFonts w:ascii="Palatino Linotype" w:eastAsia="Calibri" w:hAnsi="Palatino Linotype"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62430"/>
    <w:rsid w:val="0007653D"/>
    <w:rsid w:val="00082101"/>
    <w:rsid w:val="0008542A"/>
    <w:rsid w:val="0008745A"/>
    <w:rsid w:val="00092678"/>
    <w:rsid w:val="00095B30"/>
    <w:rsid w:val="000B3FFD"/>
    <w:rsid w:val="000C4453"/>
    <w:rsid w:val="000D136C"/>
    <w:rsid w:val="000D66DE"/>
    <w:rsid w:val="000E2B1A"/>
    <w:rsid w:val="000E4C17"/>
    <w:rsid w:val="000F05FA"/>
    <w:rsid w:val="00102EEC"/>
    <w:rsid w:val="0010583C"/>
    <w:rsid w:val="00117749"/>
    <w:rsid w:val="00123644"/>
    <w:rsid w:val="00130433"/>
    <w:rsid w:val="001317F7"/>
    <w:rsid w:val="0013735C"/>
    <w:rsid w:val="00140058"/>
    <w:rsid w:val="00173EF4"/>
    <w:rsid w:val="00175DEE"/>
    <w:rsid w:val="00187FFD"/>
    <w:rsid w:val="001950C9"/>
    <w:rsid w:val="001E0D36"/>
    <w:rsid w:val="001E757E"/>
    <w:rsid w:val="001E763C"/>
    <w:rsid w:val="002314AA"/>
    <w:rsid w:val="0023504D"/>
    <w:rsid w:val="00237A37"/>
    <w:rsid w:val="0024119C"/>
    <w:rsid w:val="0025202C"/>
    <w:rsid w:val="002562CC"/>
    <w:rsid w:val="00264E9B"/>
    <w:rsid w:val="002940F8"/>
    <w:rsid w:val="002B7856"/>
    <w:rsid w:val="002D3BBD"/>
    <w:rsid w:val="002D4526"/>
    <w:rsid w:val="002D69E1"/>
    <w:rsid w:val="002F0B04"/>
    <w:rsid w:val="002F70E8"/>
    <w:rsid w:val="0030072F"/>
    <w:rsid w:val="003056D9"/>
    <w:rsid w:val="003102FA"/>
    <w:rsid w:val="00324ECB"/>
    <w:rsid w:val="0034309A"/>
    <w:rsid w:val="003628B7"/>
    <w:rsid w:val="0037321B"/>
    <w:rsid w:val="003954D7"/>
    <w:rsid w:val="003A6F70"/>
    <w:rsid w:val="003C23BE"/>
    <w:rsid w:val="003C28FC"/>
    <w:rsid w:val="003C2D10"/>
    <w:rsid w:val="003C7226"/>
    <w:rsid w:val="003D1C14"/>
    <w:rsid w:val="003D297D"/>
    <w:rsid w:val="003E323D"/>
    <w:rsid w:val="003F4C9C"/>
    <w:rsid w:val="00410D1F"/>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F089A"/>
    <w:rsid w:val="00500FFD"/>
    <w:rsid w:val="00516914"/>
    <w:rsid w:val="005236B6"/>
    <w:rsid w:val="005318AB"/>
    <w:rsid w:val="00562649"/>
    <w:rsid w:val="00575235"/>
    <w:rsid w:val="0058067E"/>
    <w:rsid w:val="0058639E"/>
    <w:rsid w:val="005870DF"/>
    <w:rsid w:val="005B773B"/>
    <w:rsid w:val="005C5B04"/>
    <w:rsid w:val="005C66D4"/>
    <w:rsid w:val="005D14C4"/>
    <w:rsid w:val="005D1946"/>
    <w:rsid w:val="005E1FEB"/>
    <w:rsid w:val="00612544"/>
    <w:rsid w:val="00634485"/>
    <w:rsid w:val="00640C6D"/>
    <w:rsid w:val="006521C1"/>
    <w:rsid w:val="00672211"/>
    <w:rsid w:val="006824EF"/>
    <w:rsid w:val="00684492"/>
    <w:rsid w:val="006869DD"/>
    <w:rsid w:val="0069256D"/>
    <w:rsid w:val="00694EB3"/>
    <w:rsid w:val="006967D4"/>
    <w:rsid w:val="006A496D"/>
    <w:rsid w:val="006C0991"/>
    <w:rsid w:val="006C101D"/>
    <w:rsid w:val="006C5C2E"/>
    <w:rsid w:val="006E6389"/>
    <w:rsid w:val="006F30F8"/>
    <w:rsid w:val="00712BC2"/>
    <w:rsid w:val="0071346B"/>
    <w:rsid w:val="00721966"/>
    <w:rsid w:val="00724599"/>
    <w:rsid w:val="00736C06"/>
    <w:rsid w:val="007416E3"/>
    <w:rsid w:val="00742010"/>
    <w:rsid w:val="00772360"/>
    <w:rsid w:val="007A4AB6"/>
    <w:rsid w:val="007A7C81"/>
    <w:rsid w:val="007B6E55"/>
    <w:rsid w:val="007C0FDA"/>
    <w:rsid w:val="007C3C0E"/>
    <w:rsid w:val="007D0FEE"/>
    <w:rsid w:val="007E3C3D"/>
    <w:rsid w:val="0080401F"/>
    <w:rsid w:val="00820564"/>
    <w:rsid w:val="008217CD"/>
    <w:rsid w:val="00833673"/>
    <w:rsid w:val="00846A21"/>
    <w:rsid w:val="008875D3"/>
    <w:rsid w:val="00892AFC"/>
    <w:rsid w:val="008C0700"/>
    <w:rsid w:val="008C0C70"/>
    <w:rsid w:val="008C17F2"/>
    <w:rsid w:val="008D1526"/>
    <w:rsid w:val="008D584A"/>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16E80"/>
    <w:rsid w:val="00A2614C"/>
    <w:rsid w:val="00A40057"/>
    <w:rsid w:val="00A4593D"/>
    <w:rsid w:val="00A53958"/>
    <w:rsid w:val="00A60D1E"/>
    <w:rsid w:val="00A81140"/>
    <w:rsid w:val="00A824CA"/>
    <w:rsid w:val="00AB21DA"/>
    <w:rsid w:val="00AB609C"/>
    <w:rsid w:val="00AC248E"/>
    <w:rsid w:val="00AC3F99"/>
    <w:rsid w:val="00AE2B18"/>
    <w:rsid w:val="00AE78ED"/>
    <w:rsid w:val="00AF0B38"/>
    <w:rsid w:val="00AF3F82"/>
    <w:rsid w:val="00B151A8"/>
    <w:rsid w:val="00B27BE5"/>
    <w:rsid w:val="00B337A5"/>
    <w:rsid w:val="00B35A45"/>
    <w:rsid w:val="00B4641E"/>
    <w:rsid w:val="00B46E78"/>
    <w:rsid w:val="00B47806"/>
    <w:rsid w:val="00B5072E"/>
    <w:rsid w:val="00B53290"/>
    <w:rsid w:val="00B57FE6"/>
    <w:rsid w:val="00B64C77"/>
    <w:rsid w:val="00B650A8"/>
    <w:rsid w:val="00B71B09"/>
    <w:rsid w:val="00B74BD0"/>
    <w:rsid w:val="00B80485"/>
    <w:rsid w:val="00B9082D"/>
    <w:rsid w:val="00B95BF7"/>
    <w:rsid w:val="00B97237"/>
    <w:rsid w:val="00BA1612"/>
    <w:rsid w:val="00BA17D4"/>
    <w:rsid w:val="00BD7483"/>
    <w:rsid w:val="00BF4867"/>
    <w:rsid w:val="00C1644D"/>
    <w:rsid w:val="00C16FB8"/>
    <w:rsid w:val="00C30621"/>
    <w:rsid w:val="00C307F0"/>
    <w:rsid w:val="00C3241C"/>
    <w:rsid w:val="00C4493E"/>
    <w:rsid w:val="00C46934"/>
    <w:rsid w:val="00C766EF"/>
    <w:rsid w:val="00C80F8C"/>
    <w:rsid w:val="00CA047D"/>
    <w:rsid w:val="00CC5EAB"/>
    <w:rsid w:val="00CF30E8"/>
    <w:rsid w:val="00D01B99"/>
    <w:rsid w:val="00D22D87"/>
    <w:rsid w:val="00D5112F"/>
    <w:rsid w:val="00D54279"/>
    <w:rsid w:val="00D557C2"/>
    <w:rsid w:val="00D64F32"/>
    <w:rsid w:val="00D71AF9"/>
    <w:rsid w:val="00D95A98"/>
    <w:rsid w:val="00DA5209"/>
    <w:rsid w:val="00DC7173"/>
    <w:rsid w:val="00DD6A6C"/>
    <w:rsid w:val="00E10A96"/>
    <w:rsid w:val="00E146AA"/>
    <w:rsid w:val="00E2558A"/>
    <w:rsid w:val="00E27F2A"/>
    <w:rsid w:val="00E42755"/>
    <w:rsid w:val="00E43B8E"/>
    <w:rsid w:val="00E45B76"/>
    <w:rsid w:val="00E46383"/>
    <w:rsid w:val="00E50E30"/>
    <w:rsid w:val="00E76ECF"/>
    <w:rsid w:val="00E8209A"/>
    <w:rsid w:val="00E92D02"/>
    <w:rsid w:val="00EA27CB"/>
    <w:rsid w:val="00EA69DF"/>
    <w:rsid w:val="00EA7804"/>
    <w:rsid w:val="00EA7874"/>
    <w:rsid w:val="00EB5E72"/>
    <w:rsid w:val="00EB7480"/>
    <w:rsid w:val="00EB7DE6"/>
    <w:rsid w:val="00EB7F1A"/>
    <w:rsid w:val="00EC0002"/>
    <w:rsid w:val="00ED34E1"/>
    <w:rsid w:val="00ED5EE9"/>
    <w:rsid w:val="00EE66B7"/>
    <w:rsid w:val="00F02E06"/>
    <w:rsid w:val="00F2312E"/>
    <w:rsid w:val="00F231EA"/>
    <w:rsid w:val="00F36CDE"/>
    <w:rsid w:val="00F44E84"/>
    <w:rsid w:val="00F548A9"/>
    <w:rsid w:val="00F54D8B"/>
    <w:rsid w:val="00F9624E"/>
    <w:rsid w:val="00FA6221"/>
    <w:rsid w:val="00FB48D6"/>
    <w:rsid w:val="00FD1F8B"/>
    <w:rsid w:val="00FD467B"/>
    <w:rsid w:val="00FE7408"/>
    <w:rsid w:val="00FE7785"/>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ADA082C-F026-40C0-AF98-B095894F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character" w:customStyle="1" w:styleId="m-6385855675290045626gmail-msofootnotereference">
    <w:name w:val="m_-6385855675290045626gmail-msofootnotereference"/>
    <w:basedOn w:val="Fuentedeprrafopredeter"/>
    <w:rsid w:val="00F2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45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52C58-E1DC-4886-8FB3-1D47266D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2616</Words>
  <Characters>14393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2018-08-17T17:49:00Z</cp:lastPrinted>
  <dcterms:created xsi:type="dcterms:W3CDTF">2017-06-12T17:02:00Z</dcterms:created>
  <dcterms:modified xsi:type="dcterms:W3CDTF">2018-10-11T01:26:00Z</dcterms:modified>
</cp:coreProperties>
</file>